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drawings/drawing1.xml" ContentType="application/vnd.openxmlformats-officedocument.drawingml.chartshapes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drawings/drawing2.xml" ContentType="application/vnd.openxmlformats-officedocument.drawingml.chartshapes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drawings/drawing3.xml" ContentType="application/vnd.openxmlformats-officedocument.drawingml.chartshapes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E2" w:rsidRDefault="004E17E2" w:rsidP="004E17E2">
      <w:pPr>
        <w:jc w:val="center"/>
        <w:rPr>
          <w:b/>
          <w:sz w:val="28"/>
          <w:szCs w:val="28"/>
        </w:rPr>
      </w:pPr>
      <w:r w:rsidRPr="004E17E2">
        <w:rPr>
          <w:b/>
          <w:noProof/>
          <w:sz w:val="28"/>
          <w:szCs w:val="28"/>
        </w:rPr>
        <w:drawing>
          <wp:inline distT="0" distB="0" distL="0" distR="0" wp14:anchorId="0327511F" wp14:editId="165FB9E7">
            <wp:extent cx="1117600" cy="790575"/>
            <wp:effectExtent l="0" t="0" r="6350" b="9525"/>
            <wp:docPr id="4099" name="Рисунок 3" descr="СО_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3" descr="СО_герб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Default="004E17E2" w:rsidP="004E17E2">
      <w:pPr>
        <w:rPr>
          <w:b/>
          <w:sz w:val="28"/>
          <w:szCs w:val="28"/>
        </w:rPr>
      </w:pPr>
    </w:p>
    <w:p w:rsidR="004E17E2" w:rsidRDefault="004E17E2" w:rsidP="004E17E2">
      <w:pPr>
        <w:jc w:val="center"/>
        <w:rPr>
          <w:b/>
          <w:sz w:val="28"/>
          <w:szCs w:val="28"/>
        </w:rPr>
      </w:pPr>
    </w:p>
    <w:p w:rsidR="004E17E2" w:rsidRPr="004E17E2" w:rsidRDefault="004E17E2" w:rsidP="004E17E2">
      <w:pPr>
        <w:jc w:val="center"/>
        <w:rPr>
          <w:b/>
          <w:sz w:val="28"/>
          <w:szCs w:val="28"/>
        </w:rPr>
      </w:pPr>
      <w:r w:rsidRPr="004E17E2">
        <w:rPr>
          <w:b/>
          <w:sz w:val="28"/>
          <w:szCs w:val="28"/>
        </w:rPr>
        <w:t>РЕЗУЛЬТАТЫ</w:t>
      </w:r>
    </w:p>
    <w:p w:rsidR="006367BB" w:rsidRDefault="004E17E2" w:rsidP="004E17E2">
      <w:pPr>
        <w:jc w:val="center"/>
        <w:rPr>
          <w:b/>
          <w:sz w:val="28"/>
          <w:szCs w:val="28"/>
        </w:rPr>
      </w:pPr>
      <w:r w:rsidRPr="004E17E2">
        <w:rPr>
          <w:b/>
          <w:sz w:val="28"/>
          <w:szCs w:val="28"/>
        </w:rPr>
        <w:t xml:space="preserve">мониторинга </w:t>
      </w:r>
      <w:r w:rsidR="006367BB">
        <w:rPr>
          <w:b/>
          <w:sz w:val="28"/>
          <w:szCs w:val="28"/>
        </w:rPr>
        <w:t>реализации</w:t>
      </w:r>
      <w:r w:rsidRPr="004E17E2">
        <w:rPr>
          <w:b/>
          <w:sz w:val="28"/>
          <w:szCs w:val="28"/>
        </w:rPr>
        <w:t xml:space="preserve"> </w:t>
      </w:r>
    </w:p>
    <w:p w:rsidR="006367BB" w:rsidRDefault="004E17E2" w:rsidP="004E17E2">
      <w:pPr>
        <w:jc w:val="center"/>
        <w:rPr>
          <w:b/>
          <w:sz w:val="28"/>
          <w:szCs w:val="28"/>
        </w:rPr>
      </w:pPr>
      <w:r w:rsidRPr="004E17E2">
        <w:rPr>
          <w:b/>
          <w:sz w:val="28"/>
          <w:szCs w:val="28"/>
        </w:rPr>
        <w:t>Федерал</w:t>
      </w:r>
      <w:r w:rsidR="006367BB">
        <w:rPr>
          <w:b/>
          <w:sz w:val="28"/>
          <w:szCs w:val="28"/>
        </w:rPr>
        <w:t xml:space="preserve">ьного закона от 5 апреля 2013 года </w:t>
      </w:r>
      <w:r w:rsidRPr="004E17E2">
        <w:rPr>
          <w:b/>
          <w:sz w:val="28"/>
          <w:szCs w:val="28"/>
        </w:rPr>
        <w:t xml:space="preserve">№ 44-ФЗ </w:t>
      </w:r>
    </w:p>
    <w:p w:rsidR="004E17E2" w:rsidRPr="004E17E2" w:rsidRDefault="004E17E2" w:rsidP="004E17E2">
      <w:pPr>
        <w:jc w:val="center"/>
        <w:rPr>
          <w:b/>
          <w:sz w:val="28"/>
          <w:szCs w:val="28"/>
        </w:rPr>
      </w:pPr>
      <w:r w:rsidRPr="004E17E2">
        <w:rPr>
          <w:b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4E17E2" w:rsidRDefault="00F57866" w:rsidP="004E1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Свердловской области </w:t>
      </w:r>
      <w:r w:rsidR="003242BF">
        <w:rPr>
          <w:b/>
          <w:sz w:val="28"/>
          <w:szCs w:val="28"/>
        </w:rPr>
        <w:t>в</w:t>
      </w:r>
      <w:r w:rsidR="008F1AED">
        <w:rPr>
          <w:b/>
          <w:sz w:val="28"/>
          <w:szCs w:val="28"/>
        </w:rPr>
        <w:t xml:space="preserve"> 2016</w:t>
      </w:r>
      <w:r w:rsidR="004E17E2" w:rsidRPr="004E17E2">
        <w:rPr>
          <w:b/>
          <w:sz w:val="28"/>
          <w:szCs w:val="28"/>
        </w:rPr>
        <w:t xml:space="preserve"> г</w:t>
      </w:r>
      <w:r w:rsidR="006367BB">
        <w:rPr>
          <w:b/>
          <w:sz w:val="28"/>
          <w:szCs w:val="28"/>
        </w:rPr>
        <w:t>оду</w:t>
      </w: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6367BB" w:rsidRDefault="006367BB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896F95" w:rsidRDefault="00896F95" w:rsidP="00C84859">
      <w:pPr>
        <w:jc w:val="center"/>
        <w:rPr>
          <w:b/>
          <w:sz w:val="28"/>
          <w:szCs w:val="28"/>
        </w:rPr>
      </w:pPr>
    </w:p>
    <w:p w:rsidR="00030CBF" w:rsidRDefault="00030CBF" w:rsidP="00C84859">
      <w:pPr>
        <w:jc w:val="center"/>
        <w:rPr>
          <w:b/>
          <w:sz w:val="28"/>
          <w:szCs w:val="28"/>
        </w:rPr>
      </w:pPr>
    </w:p>
    <w:p w:rsidR="00896F95" w:rsidRDefault="00896F95" w:rsidP="00C84859">
      <w:pPr>
        <w:jc w:val="center"/>
        <w:rPr>
          <w:b/>
          <w:sz w:val="28"/>
          <w:szCs w:val="28"/>
        </w:rPr>
      </w:pPr>
    </w:p>
    <w:p w:rsidR="00C314F3" w:rsidRDefault="00C314F3" w:rsidP="00C84859">
      <w:pPr>
        <w:jc w:val="center"/>
        <w:rPr>
          <w:b/>
          <w:sz w:val="28"/>
          <w:szCs w:val="28"/>
        </w:rPr>
      </w:pPr>
    </w:p>
    <w:p w:rsidR="003E4A9C" w:rsidRDefault="003E4A9C" w:rsidP="00C84859">
      <w:pPr>
        <w:jc w:val="center"/>
        <w:rPr>
          <w:b/>
          <w:sz w:val="28"/>
          <w:szCs w:val="28"/>
        </w:rPr>
      </w:pPr>
    </w:p>
    <w:p w:rsidR="00896F95" w:rsidRPr="00B94FF0" w:rsidRDefault="00896F95" w:rsidP="00B94FF0">
      <w:pPr>
        <w:jc w:val="center"/>
        <w:rPr>
          <w:b/>
          <w:sz w:val="28"/>
          <w:szCs w:val="28"/>
        </w:rPr>
      </w:pPr>
    </w:p>
    <w:p w:rsidR="00CE11F9" w:rsidRPr="00CE11F9" w:rsidRDefault="00B94FF0" w:rsidP="003E4A9C">
      <w:pPr>
        <w:jc w:val="center"/>
        <w:rPr>
          <w:b/>
        </w:rPr>
      </w:pPr>
      <w:r w:rsidRPr="009713FF">
        <w:rPr>
          <w:b/>
        </w:rPr>
        <w:t>г. Екатеринбург</w:t>
      </w:r>
    </w:p>
    <w:p w:rsidR="005D7475" w:rsidRPr="00312C95" w:rsidRDefault="005D7475" w:rsidP="005D7475">
      <w:pPr>
        <w:jc w:val="center"/>
        <w:rPr>
          <w:b/>
          <w:i/>
          <w:sz w:val="28"/>
          <w:szCs w:val="28"/>
        </w:rPr>
      </w:pPr>
      <w:r w:rsidRPr="00312C95">
        <w:rPr>
          <w:b/>
          <w:i/>
          <w:sz w:val="28"/>
          <w:szCs w:val="28"/>
        </w:rPr>
        <w:lastRenderedPageBreak/>
        <w:t>СОДЕРЖАНИЕ</w:t>
      </w:r>
    </w:p>
    <w:p w:rsidR="0012744D" w:rsidRPr="006367BB" w:rsidRDefault="0012744D" w:rsidP="0012744D">
      <w:pPr>
        <w:pStyle w:val="ae"/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2744D" w:rsidRDefault="0012744D" w:rsidP="0012744D">
      <w:pPr>
        <w:pStyle w:val="ae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367BB">
        <w:rPr>
          <w:sz w:val="28"/>
          <w:szCs w:val="28"/>
        </w:rPr>
        <w:t xml:space="preserve">Мониторинг применения </w:t>
      </w:r>
      <w:r w:rsidR="009517D3">
        <w:rPr>
          <w:sz w:val="28"/>
          <w:szCs w:val="28"/>
        </w:rPr>
        <w:t xml:space="preserve">Федерального закона от 5 апреля 2013 года № 44-ФЗ «О </w:t>
      </w:r>
      <w:r w:rsidRPr="006367BB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DD5B41">
        <w:rPr>
          <w:sz w:val="28"/>
          <w:szCs w:val="28"/>
        </w:rPr>
        <w:t>»</w:t>
      </w:r>
      <w:r w:rsidRPr="006367BB">
        <w:rPr>
          <w:sz w:val="28"/>
          <w:szCs w:val="28"/>
        </w:rPr>
        <w:t>.</w:t>
      </w:r>
    </w:p>
    <w:p w:rsidR="009517D3" w:rsidRDefault="009517D3" w:rsidP="0012744D">
      <w:pPr>
        <w:pStyle w:val="ae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заказчиков, финансируемых за счет средств областного бюджета.</w:t>
      </w:r>
    </w:p>
    <w:p w:rsidR="009517D3" w:rsidRDefault="009517D3" w:rsidP="0012744D">
      <w:pPr>
        <w:pStyle w:val="ae"/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закупок.</w:t>
      </w:r>
    </w:p>
    <w:p w:rsidR="009517D3" w:rsidRDefault="009517D3" w:rsidP="0012744D">
      <w:pPr>
        <w:pStyle w:val="ae"/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заказчиками информации о закупках.</w:t>
      </w:r>
    </w:p>
    <w:p w:rsidR="009517D3" w:rsidRDefault="009517D3" w:rsidP="0012744D">
      <w:pPr>
        <w:pStyle w:val="ae"/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несостоявшихся</w:t>
      </w:r>
      <w:proofErr w:type="gramEnd"/>
      <w:r>
        <w:rPr>
          <w:sz w:val="28"/>
          <w:szCs w:val="28"/>
        </w:rPr>
        <w:t xml:space="preserve"> закупок.</w:t>
      </w:r>
    </w:p>
    <w:p w:rsidR="009517D3" w:rsidRDefault="009517D3" w:rsidP="0012744D">
      <w:pPr>
        <w:pStyle w:val="ae"/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заключенных контрактов.</w:t>
      </w:r>
    </w:p>
    <w:p w:rsidR="009517D3" w:rsidRDefault="009517D3" w:rsidP="0012744D">
      <w:pPr>
        <w:pStyle w:val="ae"/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закупок у субъектов малого и среднего предпринимательства и социально </w:t>
      </w:r>
      <w:r w:rsidRPr="006367BB">
        <w:rPr>
          <w:sz w:val="28"/>
          <w:szCs w:val="28"/>
        </w:rPr>
        <w:t>ориентированных некоммерческих организаций</w:t>
      </w:r>
      <w:r>
        <w:rPr>
          <w:sz w:val="28"/>
          <w:szCs w:val="28"/>
        </w:rPr>
        <w:t>.</w:t>
      </w:r>
    </w:p>
    <w:p w:rsidR="009517D3" w:rsidRDefault="009517D3" w:rsidP="00DD5B41">
      <w:pPr>
        <w:pStyle w:val="ae"/>
        <w:numPr>
          <w:ilvl w:val="0"/>
          <w:numId w:val="9"/>
        </w:numPr>
        <w:tabs>
          <w:tab w:val="left" w:pos="1418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закупок через Департамент государственных закупок Свердловской области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1. Анализ общей ситуации за 2016 год.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2.Совместные торги.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3. Нормативно – правовое регулирование в сфере закупок Свердловской области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4. Методическое обеспечение в сфере закупок.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5. Информационное обеспечение контрактной системы в сфере закупок.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6. Общественны</w:t>
      </w:r>
      <w:r w:rsidR="00E1273F">
        <w:rPr>
          <w:sz w:val="28"/>
          <w:szCs w:val="28"/>
        </w:rPr>
        <w:t>й</w:t>
      </w:r>
      <w:r>
        <w:rPr>
          <w:sz w:val="28"/>
          <w:szCs w:val="28"/>
        </w:rPr>
        <w:t xml:space="preserve"> контроль в сфере закупок.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7. Основные выводы по осуществляемой деятельности.</w:t>
      </w:r>
    </w:p>
    <w:p w:rsidR="009517D3" w:rsidRDefault="009517D3" w:rsidP="009517D3">
      <w:pPr>
        <w:pStyle w:val="ae"/>
        <w:tabs>
          <w:tab w:val="left" w:pos="184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8. Реализация государственной программы в сфере закупок.</w:t>
      </w:r>
    </w:p>
    <w:p w:rsidR="009517D3" w:rsidRDefault="009517D3" w:rsidP="00DD5B41">
      <w:pPr>
        <w:pStyle w:val="ae"/>
        <w:numPr>
          <w:ilvl w:val="0"/>
          <w:numId w:val="9"/>
        </w:numPr>
        <w:tabs>
          <w:tab w:val="left" w:pos="1276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реализации </w:t>
      </w:r>
      <w:r w:rsidR="00DD5B41">
        <w:rPr>
          <w:sz w:val="28"/>
          <w:szCs w:val="28"/>
        </w:rPr>
        <w:t xml:space="preserve">Федерального закона от 5 апреля 2013 года № 44-ФЗ «О </w:t>
      </w:r>
      <w:r w:rsidR="00DD5B41" w:rsidRPr="006367BB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DD5B41">
        <w:rPr>
          <w:sz w:val="28"/>
          <w:szCs w:val="28"/>
        </w:rPr>
        <w:t>» на 2017 год.</w:t>
      </w:r>
    </w:p>
    <w:p w:rsidR="009517D3" w:rsidRDefault="009517D3" w:rsidP="009517D3">
      <w:pPr>
        <w:pStyle w:val="ae"/>
        <w:tabs>
          <w:tab w:val="left" w:pos="1843"/>
        </w:tabs>
        <w:ind w:left="928"/>
        <w:jc w:val="both"/>
        <w:rPr>
          <w:sz w:val="28"/>
          <w:szCs w:val="28"/>
        </w:rPr>
      </w:pPr>
    </w:p>
    <w:p w:rsidR="009517D3" w:rsidRDefault="009517D3" w:rsidP="009517D3">
      <w:pPr>
        <w:pStyle w:val="ae"/>
        <w:tabs>
          <w:tab w:val="left" w:pos="1843"/>
        </w:tabs>
        <w:ind w:left="928"/>
        <w:jc w:val="both"/>
        <w:rPr>
          <w:sz w:val="28"/>
          <w:szCs w:val="28"/>
        </w:rPr>
      </w:pPr>
    </w:p>
    <w:p w:rsidR="00813D2A" w:rsidRDefault="00813D2A" w:rsidP="003242BF">
      <w:pPr>
        <w:pStyle w:val="ae"/>
        <w:ind w:left="0" w:firstLine="709"/>
        <w:jc w:val="both"/>
        <w:rPr>
          <w:sz w:val="28"/>
          <w:szCs w:val="28"/>
        </w:rPr>
      </w:pPr>
    </w:p>
    <w:p w:rsidR="00BA1C33" w:rsidRPr="00AB7821" w:rsidRDefault="00BA1C33" w:rsidP="003242BF">
      <w:pPr>
        <w:pStyle w:val="ae"/>
        <w:ind w:left="0" w:firstLine="709"/>
        <w:jc w:val="both"/>
        <w:rPr>
          <w:sz w:val="28"/>
          <w:szCs w:val="28"/>
        </w:rPr>
      </w:pPr>
    </w:p>
    <w:p w:rsidR="00BA1C33" w:rsidRDefault="00BA1C33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D17B91" w:rsidRDefault="00D17B91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D352E" w:rsidRDefault="001D352E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1C3372" w:rsidRDefault="001C3372" w:rsidP="003242BF">
      <w:pPr>
        <w:pStyle w:val="ae"/>
        <w:ind w:left="0"/>
        <w:rPr>
          <w:b/>
          <w:sz w:val="28"/>
          <w:szCs w:val="28"/>
          <w:highlight w:val="yellow"/>
        </w:rPr>
      </w:pPr>
    </w:p>
    <w:p w:rsidR="005D7475" w:rsidRPr="00BF537E" w:rsidRDefault="00257F18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BF537E">
        <w:rPr>
          <w:i/>
          <w:color w:val="auto"/>
          <w:sz w:val="28"/>
          <w:szCs w:val="28"/>
        </w:rPr>
        <w:lastRenderedPageBreak/>
        <w:t xml:space="preserve">1. </w:t>
      </w:r>
      <w:r w:rsidR="005D7475" w:rsidRPr="00BF537E">
        <w:rPr>
          <w:i/>
          <w:color w:val="auto"/>
          <w:sz w:val="28"/>
          <w:szCs w:val="28"/>
        </w:rPr>
        <w:t>ВВЕДЕНИЕ</w:t>
      </w:r>
    </w:p>
    <w:p w:rsidR="00B174DB" w:rsidRPr="005D7475" w:rsidRDefault="00B174DB" w:rsidP="005D7475">
      <w:pPr>
        <w:jc w:val="center"/>
        <w:rPr>
          <w:b/>
          <w:sz w:val="28"/>
          <w:szCs w:val="28"/>
        </w:rPr>
      </w:pPr>
    </w:p>
    <w:p w:rsidR="009C088F" w:rsidRDefault="005D7475" w:rsidP="00B174DB">
      <w:pPr>
        <w:ind w:firstLine="708"/>
        <w:jc w:val="both"/>
        <w:rPr>
          <w:sz w:val="28"/>
          <w:szCs w:val="28"/>
        </w:rPr>
      </w:pPr>
      <w:r w:rsidRPr="00B174DB">
        <w:rPr>
          <w:sz w:val="28"/>
          <w:szCs w:val="28"/>
        </w:rPr>
        <w:t xml:space="preserve">Настоящий мониторинг </w:t>
      </w:r>
      <w:r w:rsidR="006367BB">
        <w:rPr>
          <w:sz w:val="28"/>
          <w:szCs w:val="28"/>
        </w:rPr>
        <w:t>реализации</w:t>
      </w:r>
      <w:r w:rsidR="009C088F">
        <w:rPr>
          <w:sz w:val="28"/>
          <w:szCs w:val="28"/>
        </w:rPr>
        <w:t xml:space="preserve"> </w:t>
      </w:r>
      <w:r w:rsidRPr="00B174DB">
        <w:rPr>
          <w:sz w:val="28"/>
          <w:szCs w:val="28"/>
        </w:rPr>
        <w:t xml:space="preserve"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B94FF0">
        <w:rPr>
          <w:sz w:val="28"/>
          <w:szCs w:val="28"/>
        </w:rPr>
        <w:t>о контрактной системе</w:t>
      </w:r>
      <w:r w:rsidRPr="00B174DB">
        <w:rPr>
          <w:sz w:val="28"/>
          <w:szCs w:val="28"/>
        </w:rPr>
        <w:t xml:space="preserve">) </w:t>
      </w:r>
      <w:r w:rsidR="009C088F">
        <w:rPr>
          <w:sz w:val="28"/>
          <w:szCs w:val="28"/>
        </w:rPr>
        <w:t xml:space="preserve">в Свердловской области </w:t>
      </w:r>
      <w:r w:rsidR="00A22986">
        <w:rPr>
          <w:sz w:val="28"/>
          <w:szCs w:val="28"/>
        </w:rPr>
        <w:t xml:space="preserve">подготовлен </w:t>
      </w:r>
      <w:r w:rsidR="009C088F">
        <w:rPr>
          <w:sz w:val="28"/>
          <w:szCs w:val="28"/>
        </w:rPr>
        <w:t xml:space="preserve">за </w:t>
      </w:r>
      <w:r w:rsidR="00A22986">
        <w:rPr>
          <w:sz w:val="28"/>
          <w:szCs w:val="28"/>
        </w:rPr>
        <w:t>201</w:t>
      </w:r>
      <w:r w:rsidR="00E16358">
        <w:rPr>
          <w:sz w:val="28"/>
          <w:szCs w:val="28"/>
        </w:rPr>
        <w:t>6</w:t>
      </w:r>
      <w:r w:rsidR="00A22986">
        <w:rPr>
          <w:sz w:val="28"/>
          <w:szCs w:val="28"/>
        </w:rPr>
        <w:t xml:space="preserve"> год</w:t>
      </w:r>
      <w:r w:rsidR="009C088F">
        <w:rPr>
          <w:sz w:val="28"/>
          <w:szCs w:val="28"/>
        </w:rPr>
        <w:t xml:space="preserve">. </w:t>
      </w:r>
    </w:p>
    <w:p w:rsidR="005D7475" w:rsidRPr="00312C95" w:rsidRDefault="005D7475" w:rsidP="00B174DB">
      <w:pPr>
        <w:ind w:firstLine="708"/>
        <w:jc w:val="both"/>
        <w:rPr>
          <w:b/>
          <w:i/>
          <w:sz w:val="28"/>
          <w:szCs w:val="28"/>
        </w:rPr>
      </w:pPr>
      <w:r w:rsidRPr="00312C95">
        <w:rPr>
          <w:b/>
          <w:i/>
          <w:sz w:val="28"/>
          <w:szCs w:val="28"/>
        </w:rPr>
        <w:t>Цели мониторинга:</w:t>
      </w:r>
    </w:p>
    <w:p w:rsidR="00D46E4A" w:rsidRDefault="005D7475" w:rsidP="00956B1F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74DB">
        <w:rPr>
          <w:sz w:val="28"/>
          <w:szCs w:val="28"/>
        </w:rPr>
        <w:t xml:space="preserve">Анализ </w:t>
      </w:r>
      <w:r w:rsidR="00D0213C">
        <w:rPr>
          <w:sz w:val="28"/>
          <w:szCs w:val="28"/>
        </w:rPr>
        <w:t>результатов</w:t>
      </w:r>
      <w:r w:rsidRPr="00B174DB">
        <w:rPr>
          <w:sz w:val="28"/>
          <w:szCs w:val="28"/>
        </w:rPr>
        <w:t xml:space="preserve"> осуществления закупок</w:t>
      </w:r>
      <w:r w:rsidR="003242BF">
        <w:rPr>
          <w:sz w:val="28"/>
          <w:szCs w:val="28"/>
        </w:rPr>
        <w:t xml:space="preserve"> товаров, работ, услуг для государственных нужд Свердловской области</w:t>
      </w:r>
      <w:r w:rsidR="00D0213C">
        <w:rPr>
          <w:sz w:val="28"/>
          <w:szCs w:val="28"/>
        </w:rPr>
        <w:t>.</w:t>
      </w:r>
    </w:p>
    <w:p w:rsidR="004E17E2" w:rsidRPr="00B174DB" w:rsidRDefault="00CE7151" w:rsidP="00956B1F">
      <w:pPr>
        <w:pStyle w:val="ae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E7151">
        <w:rPr>
          <w:sz w:val="28"/>
          <w:szCs w:val="28"/>
        </w:rPr>
        <w:t>План</w:t>
      </w:r>
      <w:r w:rsidR="001F4CFF">
        <w:rPr>
          <w:sz w:val="28"/>
          <w:szCs w:val="28"/>
        </w:rPr>
        <w:t>ирование</w:t>
      </w:r>
      <w:r w:rsidRPr="00CE7151">
        <w:rPr>
          <w:sz w:val="28"/>
          <w:szCs w:val="28"/>
        </w:rPr>
        <w:t xml:space="preserve"> мероприятий по реализации Закона о контрактной системе в Свердловской области на </w:t>
      </w:r>
      <w:r w:rsidR="00A22986">
        <w:rPr>
          <w:sz w:val="28"/>
          <w:szCs w:val="28"/>
        </w:rPr>
        <w:t>201</w:t>
      </w:r>
      <w:r w:rsidR="00EE11B4">
        <w:rPr>
          <w:sz w:val="28"/>
          <w:szCs w:val="28"/>
        </w:rPr>
        <w:t>7</w:t>
      </w:r>
      <w:r w:rsidR="00A22986">
        <w:rPr>
          <w:sz w:val="28"/>
          <w:szCs w:val="28"/>
        </w:rPr>
        <w:t xml:space="preserve"> год</w:t>
      </w:r>
      <w:r w:rsidRPr="00CE7151">
        <w:rPr>
          <w:sz w:val="28"/>
          <w:szCs w:val="28"/>
        </w:rPr>
        <w:t>.</w:t>
      </w: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2E2EBF" w:rsidRDefault="002E2EBF" w:rsidP="00C84859">
      <w:pPr>
        <w:jc w:val="center"/>
        <w:rPr>
          <w:b/>
          <w:sz w:val="28"/>
          <w:szCs w:val="28"/>
        </w:rPr>
      </w:pPr>
    </w:p>
    <w:p w:rsidR="004E17E2" w:rsidRDefault="004E17E2" w:rsidP="00C84859">
      <w:pPr>
        <w:jc w:val="center"/>
        <w:rPr>
          <w:b/>
          <w:sz w:val="28"/>
          <w:szCs w:val="28"/>
        </w:rPr>
      </w:pPr>
    </w:p>
    <w:p w:rsidR="004D6281" w:rsidRDefault="004D6281" w:rsidP="00C84859">
      <w:pPr>
        <w:jc w:val="center"/>
        <w:rPr>
          <w:b/>
          <w:sz w:val="28"/>
          <w:szCs w:val="28"/>
        </w:rPr>
      </w:pPr>
    </w:p>
    <w:p w:rsidR="001F4CFF" w:rsidRDefault="001F4CFF" w:rsidP="00C84859">
      <w:pPr>
        <w:jc w:val="center"/>
        <w:rPr>
          <w:b/>
          <w:sz w:val="28"/>
          <w:szCs w:val="28"/>
        </w:rPr>
      </w:pPr>
    </w:p>
    <w:p w:rsidR="00A22986" w:rsidRDefault="00A22986" w:rsidP="00C84859">
      <w:pPr>
        <w:jc w:val="center"/>
        <w:rPr>
          <w:b/>
          <w:sz w:val="28"/>
          <w:szCs w:val="28"/>
        </w:rPr>
      </w:pPr>
    </w:p>
    <w:p w:rsidR="00EE37DF" w:rsidRDefault="00EE37DF" w:rsidP="00C84859">
      <w:pPr>
        <w:jc w:val="center"/>
        <w:rPr>
          <w:b/>
          <w:sz w:val="28"/>
          <w:szCs w:val="28"/>
        </w:rPr>
      </w:pPr>
    </w:p>
    <w:p w:rsidR="00A22986" w:rsidRDefault="00A22986" w:rsidP="00C84859">
      <w:pPr>
        <w:jc w:val="center"/>
        <w:rPr>
          <w:b/>
          <w:sz w:val="28"/>
          <w:szCs w:val="28"/>
        </w:rPr>
      </w:pPr>
    </w:p>
    <w:p w:rsidR="00A22986" w:rsidRDefault="00A22986" w:rsidP="003E4A9C">
      <w:pPr>
        <w:rPr>
          <w:b/>
          <w:sz w:val="28"/>
          <w:szCs w:val="28"/>
        </w:rPr>
      </w:pPr>
    </w:p>
    <w:p w:rsidR="001422DF" w:rsidRPr="004428AC" w:rsidRDefault="001422DF" w:rsidP="001422DF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1422DF" w:rsidRPr="00BF537E" w:rsidRDefault="00567E17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554F5B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1422DF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Мониторинг </w:t>
      </w:r>
      <w:r w:rsidR="00A22986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применения </w:t>
      </w:r>
      <w:r w:rsidR="009D62E1" w:rsidRPr="009D62E1">
        <w:rPr>
          <w:rFonts w:ascii="Times New Roman" w:hAnsi="Times New Roman" w:cs="Times New Roman"/>
          <w:i/>
          <w:color w:val="auto"/>
          <w:sz w:val="28"/>
          <w:szCs w:val="28"/>
        </w:rPr>
        <w:t>Федерального закона от 5 апреля 2013 года</w:t>
      </w:r>
      <w:r w:rsidR="0079696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</w:t>
      </w:r>
      <w:r w:rsidR="009D62E1" w:rsidRPr="009D62E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1422DF" w:rsidRPr="00C36C88" w:rsidRDefault="001422DF" w:rsidP="001422DF">
      <w:pPr>
        <w:autoSpaceDE w:val="0"/>
        <w:autoSpaceDN w:val="0"/>
        <w:adjustRightInd w:val="0"/>
        <w:ind w:firstLine="540"/>
        <w:jc w:val="center"/>
        <w:rPr>
          <w:sz w:val="10"/>
          <w:szCs w:val="10"/>
        </w:rPr>
      </w:pPr>
    </w:p>
    <w:p w:rsidR="006C1D46" w:rsidRDefault="006C1D46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6C1D46">
        <w:rPr>
          <w:sz w:val="28"/>
          <w:szCs w:val="28"/>
        </w:rPr>
        <w:t xml:space="preserve">ониторинг применения </w:t>
      </w:r>
      <w:r w:rsidR="009D62E1">
        <w:rPr>
          <w:sz w:val="28"/>
          <w:szCs w:val="28"/>
        </w:rPr>
        <w:t xml:space="preserve">Федерального закона от 5 апреля 2013 года </w:t>
      </w:r>
      <w:r w:rsidR="00222806">
        <w:rPr>
          <w:sz w:val="28"/>
          <w:szCs w:val="28"/>
        </w:rPr>
        <w:t xml:space="preserve">                    </w:t>
      </w:r>
      <w:r w:rsidR="009D62E1">
        <w:rPr>
          <w:sz w:val="28"/>
          <w:szCs w:val="28"/>
        </w:rPr>
        <w:t xml:space="preserve">№ 44-ФЗ «О </w:t>
      </w:r>
      <w:r w:rsidR="009D62E1" w:rsidRPr="006367BB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9D62E1">
        <w:rPr>
          <w:sz w:val="28"/>
          <w:szCs w:val="28"/>
        </w:rPr>
        <w:t>»</w:t>
      </w:r>
      <w:r w:rsidR="004C1985">
        <w:rPr>
          <w:sz w:val="28"/>
          <w:szCs w:val="28"/>
        </w:rPr>
        <w:t xml:space="preserve"> (далее – Закон о контрактной системе) </w:t>
      </w:r>
      <w:r>
        <w:rPr>
          <w:sz w:val="28"/>
          <w:szCs w:val="28"/>
        </w:rPr>
        <w:t xml:space="preserve"> </w:t>
      </w:r>
      <w:r w:rsidR="006367BB">
        <w:rPr>
          <w:sz w:val="28"/>
          <w:szCs w:val="28"/>
        </w:rPr>
        <w:t xml:space="preserve">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 </w:t>
      </w:r>
      <w:r w:rsidR="00CF7DFA">
        <w:rPr>
          <w:sz w:val="28"/>
          <w:szCs w:val="28"/>
        </w:rPr>
        <w:t>закупок.</w:t>
      </w:r>
      <w:r w:rsidRPr="006C1D46">
        <w:rPr>
          <w:sz w:val="28"/>
          <w:szCs w:val="28"/>
        </w:rPr>
        <w:t xml:space="preserve"> </w:t>
      </w:r>
      <w:proofErr w:type="gramEnd"/>
    </w:p>
    <w:p w:rsidR="003242BF" w:rsidRPr="003242BF" w:rsidRDefault="003242BF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2BF">
        <w:rPr>
          <w:sz w:val="28"/>
          <w:szCs w:val="28"/>
        </w:rPr>
        <w:t>Законом о контрактной системе закрепляется необходимость осуществления с 2017 года на постоянной основе мониторинга всех стадий закупок (планирования, определения поставщика (подрядчика, исполнителя), исполнения контракта) посредством сбора, обобщения, систематизации и оценки информации об осуществлении закупок. Ранее предполагалось ввести мониторинг закупок с 2016 года.</w:t>
      </w:r>
    </w:p>
    <w:p w:rsidR="003242BF" w:rsidRPr="003242BF" w:rsidRDefault="003242BF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2BF">
        <w:rPr>
          <w:sz w:val="28"/>
          <w:szCs w:val="28"/>
        </w:rPr>
        <w:t>Целями мониторинга закупок являются:</w:t>
      </w:r>
    </w:p>
    <w:p w:rsidR="003242BF" w:rsidRPr="003242BF" w:rsidRDefault="003242BF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2BF">
        <w:rPr>
          <w:sz w:val="28"/>
          <w:szCs w:val="28"/>
        </w:rPr>
        <w:t>•</w:t>
      </w:r>
      <w:r w:rsidRPr="003242BF">
        <w:rPr>
          <w:sz w:val="28"/>
          <w:szCs w:val="28"/>
        </w:rPr>
        <w:tab/>
        <w:t>оценка степени достижения целей осуществления закупок;</w:t>
      </w:r>
    </w:p>
    <w:p w:rsidR="003242BF" w:rsidRPr="003242BF" w:rsidRDefault="003242BF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2BF">
        <w:rPr>
          <w:sz w:val="28"/>
          <w:szCs w:val="28"/>
        </w:rPr>
        <w:t>•</w:t>
      </w:r>
      <w:r w:rsidRPr="003242BF">
        <w:rPr>
          <w:sz w:val="28"/>
          <w:szCs w:val="28"/>
        </w:rPr>
        <w:tab/>
        <w:t>оценка обоснованности закупок;</w:t>
      </w:r>
    </w:p>
    <w:p w:rsidR="003242BF" w:rsidRPr="003242BF" w:rsidRDefault="003242BF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2BF">
        <w:rPr>
          <w:sz w:val="28"/>
          <w:szCs w:val="28"/>
        </w:rPr>
        <w:t>•</w:t>
      </w:r>
      <w:r w:rsidRPr="003242BF">
        <w:rPr>
          <w:sz w:val="28"/>
          <w:szCs w:val="28"/>
        </w:rPr>
        <w:tab/>
        <w:t>совершенствование законодательства Российской Федерации и иных нормативных правовых актов о контрактной системе в сфере закупок.</w:t>
      </w:r>
    </w:p>
    <w:p w:rsidR="003242BF" w:rsidRDefault="00080998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42BF" w:rsidRPr="003242BF">
        <w:rPr>
          <w:sz w:val="28"/>
          <w:szCs w:val="28"/>
        </w:rPr>
        <w:t xml:space="preserve"> 2017 года мониторинг закупок будет проводиться Минэкономразвития России с использованием </w:t>
      </w:r>
      <w:r w:rsidR="00614044" w:rsidRPr="007E2272">
        <w:rPr>
          <w:color w:val="000000"/>
          <w:sz w:val="28"/>
          <w:szCs w:val="28"/>
        </w:rPr>
        <w:t xml:space="preserve">Единой информационной системы в сфере закупок в информационно-телекоммуникационной сети Интернет (www.zakupki.gov.ru) </w:t>
      </w:r>
      <w:r w:rsidR="003242BF" w:rsidRPr="003242BF">
        <w:rPr>
          <w:sz w:val="28"/>
          <w:szCs w:val="28"/>
        </w:rPr>
        <w:t xml:space="preserve">и на </w:t>
      </w:r>
      <w:proofErr w:type="gramStart"/>
      <w:r w:rsidR="003242BF" w:rsidRPr="003242BF">
        <w:rPr>
          <w:sz w:val="28"/>
          <w:szCs w:val="28"/>
        </w:rPr>
        <w:t>основе</w:t>
      </w:r>
      <w:proofErr w:type="gramEnd"/>
      <w:r w:rsidR="003242BF" w:rsidRPr="003242BF">
        <w:rPr>
          <w:sz w:val="28"/>
          <w:szCs w:val="28"/>
        </w:rPr>
        <w:t xml:space="preserve"> содержащейся в ней информации. </w:t>
      </w:r>
    </w:p>
    <w:p w:rsidR="007058AB" w:rsidRDefault="00CF7DFA" w:rsidP="003242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ч.8 ст. 97 Закона о контрактной системе в соответствии с актами высших исполнительных органов государственной власти субъектов Российской Федерации органами исполнительной власти субъектов Российской Федерации по регулированию контрактной системы в сфере закупок может осуществляться мониторинг закупок для обеспечения нужд субъекта Российской Федерации. </w:t>
      </w:r>
      <w:r w:rsidR="007058AB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7058AB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Свердловской области о</w:t>
      </w:r>
      <w:r w:rsidR="007058AB">
        <w:rPr>
          <w:sz w:val="28"/>
          <w:szCs w:val="28"/>
        </w:rPr>
        <w:t xml:space="preserve">т 14.03.2017 г. № 148-ПП «О мониторинге закупок товаров, работ, услуг для обеспечения государственных нужд Свердловской области»  регламентирует не только  проведение мониторинга  и составление  на его основе аналитического отчета за каждое полугодие, но и взаимодействие с заказчиками Свердловской области по направлению и информации требующей принятия соответствующих мер. </w:t>
      </w:r>
    </w:p>
    <w:p w:rsidR="00973D5F" w:rsidRPr="00973D5F" w:rsidRDefault="00973D5F" w:rsidP="00973D5F">
      <w:pPr>
        <w:ind w:firstLine="709"/>
        <w:jc w:val="both"/>
        <w:rPr>
          <w:b/>
          <w:i/>
          <w:sz w:val="28"/>
          <w:szCs w:val="28"/>
        </w:rPr>
      </w:pPr>
      <w:r w:rsidRPr="00973D5F">
        <w:rPr>
          <w:b/>
          <w:i/>
          <w:sz w:val="28"/>
          <w:szCs w:val="28"/>
        </w:rPr>
        <w:t xml:space="preserve">Наиболее проблемными по количеству допускаемых заказчиками нарушений являются </w:t>
      </w:r>
      <w:proofErr w:type="spellStart"/>
      <w:r w:rsidR="00713406">
        <w:rPr>
          <w:b/>
          <w:i/>
          <w:sz w:val="28"/>
          <w:szCs w:val="28"/>
        </w:rPr>
        <w:t>конкусрные</w:t>
      </w:r>
      <w:proofErr w:type="spellEnd"/>
      <w:r w:rsidRPr="00973D5F">
        <w:rPr>
          <w:b/>
          <w:i/>
          <w:sz w:val="28"/>
          <w:szCs w:val="28"/>
        </w:rPr>
        <w:t xml:space="preserve"> процедуры определения поставщика (подрядчика, исполнителя). Это связано как с низкой подготовкой специалистов заказчика, так и со стремлением заказчиков </w:t>
      </w:r>
      <w:proofErr w:type="gramStart"/>
      <w:r w:rsidRPr="00973D5F">
        <w:rPr>
          <w:b/>
          <w:i/>
          <w:sz w:val="28"/>
          <w:szCs w:val="28"/>
        </w:rPr>
        <w:t>установить преимущественные условия</w:t>
      </w:r>
      <w:proofErr w:type="gramEnd"/>
      <w:r w:rsidRPr="00973D5F">
        <w:rPr>
          <w:b/>
          <w:i/>
          <w:sz w:val="28"/>
          <w:szCs w:val="28"/>
        </w:rPr>
        <w:t xml:space="preserve"> определённому поставщику (подрядчику, исполнителю).</w:t>
      </w:r>
    </w:p>
    <w:p w:rsidR="00973D5F" w:rsidRPr="00973D5F" w:rsidRDefault="00973D5F" w:rsidP="00973D5F">
      <w:pPr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lastRenderedPageBreak/>
        <w:t xml:space="preserve">По результатам проводимых Департаментом </w:t>
      </w:r>
      <w:proofErr w:type="spellStart"/>
      <w:r w:rsidRPr="00973D5F">
        <w:rPr>
          <w:sz w:val="28"/>
          <w:szCs w:val="28"/>
        </w:rPr>
        <w:t>госзакупок</w:t>
      </w:r>
      <w:proofErr w:type="spellEnd"/>
      <w:r w:rsidRPr="00973D5F">
        <w:rPr>
          <w:sz w:val="28"/>
          <w:szCs w:val="28"/>
        </w:rPr>
        <w:t xml:space="preserve"> Свердловской области </w:t>
      </w:r>
      <w:r w:rsidR="00F92ADA">
        <w:rPr>
          <w:sz w:val="28"/>
          <w:szCs w:val="28"/>
        </w:rPr>
        <w:t>первичных проверок на предмет соот</w:t>
      </w:r>
      <w:r w:rsidR="007058AB">
        <w:rPr>
          <w:sz w:val="28"/>
          <w:szCs w:val="28"/>
        </w:rPr>
        <w:t>ветствия заявок</w:t>
      </w:r>
      <w:r w:rsidR="00F92ADA">
        <w:rPr>
          <w:sz w:val="28"/>
          <w:szCs w:val="28"/>
        </w:rPr>
        <w:t xml:space="preserve"> требованиям законодательства в сфере закупок товаров, работ, услуг, </w:t>
      </w:r>
      <w:r w:rsidRPr="00973D5F">
        <w:rPr>
          <w:sz w:val="28"/>
          <w:szCs w:val="28"/>
        </w:rPr>
        <w:t xml:space="preserve"> поступающих от заказчиков при проведении конкурсных процедур с начальной (максимальной) ценой контракта пять миллионов рублей и более, нарушения выявляются </w:t>
      </w:r>
      <w:r w:rsidRPr="00973D5F">
        <w:rPr>
          <w:b/>
          <w:i/>
          <w:sz w:val="28"/>
          <w:szCs w:val="28"/>
        </w:rPr>
        <w:t>в 100 процентах</w:t>
      </w:r>
      <w:r w:rsidRPr="00973D5F">
        <w:rPr>
          <w:sz w:val="28"/>
          <w:szCs w:val="28"/>
        </w:rPr>
        <w:t xml:space="preserve"> случаев.</w:t>
      </w:r>
    </w:p>
    <w:p w:rsidR="00973D5F" w:rsidRPr="00973D5F" w:rsidRDefault="00973D5F" w:rsidP="00973D5F">
      <w:pPr>
        <w:ind w:firstLine="709"/>
        <w:jc w:val="both"/>
        <w:rPr>
          <w:b/>
          <w:i/>
          <w:sz w:val="28"/>
          <w:szCs w:val="28"/>
        </w:rPr>
      </w:pPr>
      <w:r w:rsidRPr="00973D5F">
        <w:rPr>
          <w:b/>
          <w:i/>
          <w:sz w:val="28"/>
          <w:szCs w:val="28"/>
        </w:rPr>
        <w:t xml:space="preserve">Основными нарушениями, выявляемыми Департаментом </w:t>
      </w:r>
      <w:proofErr w:type="spellStart"/>
      <w:r w:rsidRPr="00973D5F">
        <w:rPr>
          <w:b/>
          <w:i/>
          <w:sz w:val="28"/>
          <w:szCs w:val="28"/>
        </w:rPr>
        <w:t>госзакупок</w:t>
      </w:r>
      <w:proofErr w:type="spellEnd"/>
      <w:r w:rsidRPr="00973D5F">
        <w:rPr>
          <w:b/>
          <w:i/>
          <w:sz w:val="28"/>
          <w:szCs w:val="28"/>
        </w:rPr>
        <w:t xml:space="preserve"> Свердловской области при проведении конкурсных процедур, являются:</w:t>
      </w:r>
    </w:p>
    <w:p w:rsidR="00973D5F" w:rsidRPr="00973D5F" w:rsidRDefault="00973D5F" w:rsidP="00973D5F">
      <w:pPr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– установление критериев оценки, ограничивающих конкуренцию;</w:t>
      </w:r>
    </w:p>
    <w:p w:rsidR="00973D5F" w:rsidRPr="00973D5F" w:rsidRDefault="00973D5F" w:rsidP="00973D5F">
      <w:pPr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– арифметические и технические ошибки при расчёте значимости критериев;</w:t>
      </w:r>
    </w:p>
    <w:p w:rsidR="00973D5F" w:rsidRPr="00973D5F" w:rsidRDefault="00973D5F" w:rsidP="00973D5F">
      <w:pPr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– установление критериев оценки, не предусмотренных законодательством Российской Федерации;</w:t>
      </w:r>
    </w:p>
    <w:p w:rsidR="00973D5F" w:rsidRPr="00973D5F" w:rsidRDefault="00973D5F" w:rsidP="00973D5F">
      <w:pPr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 xml:space="preserve">– неверное </w:t>
      </w:r>
      <w:r w:rsidR="004F3ABC">
        <w:rPr>
          <w:sz w:val="28"/>
          <w:szCs w:val="28"/>
        </w:rPr>
        <w:t>толкование</w:t>
      </w:r>
      <w:r w:rsidRPr="00973D5F">
        <w:rPr>
          <w:sz w:val="28"/>
          <w:szCs w:val="28"/>
        </w:rPr>
        <w:t xml:space="preserve"> законодательства Российской Федерации </w:t>
      </w:r>
      <w:r w:rsidRPr="00973D5F">
        <w:rPr>
          <w:sz w:val="28"/>
          <w:szCs w:val="28"/>
        </w:rPr>
        <w:br/>
        <w:t>при подготовке критериев оценки.</w:t>
      </w:r>
    </w:p>
    <w:p w:rsidR="001422DF" w:rsidRDefault="00973D5F" w:rsidP="00973D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 xml:space="preserve">Посредством направления мотивированных требований </w:t>
      </w:r>
      <w:r w:rsidR="004F3ABC">
        <w:rPr>
          <w:sz w:val="28"/>
          <w:szCs w:val="28"/>
        </w:rPr>
        <w:t xml:space="preserve">от </w:t>
      </w:r>
      <w:r w:rsidR="004F3ABC" w:rsidRPr="00973D5F">
        <w:rPr>
          <w:sz w:val="28"/>
          <w:szCs w:val="28"/>
        </w:rPr>
        <w:t xml:space="preserve"> Департамента </w:t>
      </w:r>
      <w:proofErr w:type="spellStart"/>
      <w:r w:rsidR="004F3ABC" w:rsidRPr="00973D5F">
        <w:rPr>
          <w:sz w:val="28"/>
          <w:szCs w:val="28"/>
        </w:rPr>
        <w:t>госзакупок</w:t>
      </w:r>
      <w:proofErr w:type="spellEnd"/>
      <w:r w:rsidR="004F3ABC" w:rsidRPr="00973D5F">
        <w:rPr>
          <w:sz w:val="28"/>
          <w:szCs w:val="28"/>
        </w:rPr>
        <w:t xml:space="preserve"> Свердловской области </w:t>
      </w:r>
      <w:r w:rsidR="004F3ABC">
        <w:rPr>
          <w:sz w:val="28"/>
          <w:szCs w:val="28"/>
        </w:rPr>
        <w:t xml:space="preserve">заказчикам Свердловской области </w:t>
      </w:r>
      <w:r w:rsidRPr="00973D5F">
        <w:rPr>
          <w:sz w:val="28"/>
          <w:szCs w:val="28"/>
        </w:rPr>
        <w:t>подобные нарушения устраняются.</w:t>
      </w:r>
    </w:p>
    <w:p w:rsidR="00507B2D" w:rsidRDefault="00507B2D" w:rsidP="00973D5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7B2D">
        <w:rPr>
          <w:sz w:val="28"/>
          <w:szCs w:val="28"/>
        </w:rPr>
        <w:t xml:space="preserve">В Свердловской области мониторинг реализации Закона о контрактной системе осуществляется Департаментом </w:t>
      </w:r>
      <w:proofErr w:type="spellStart"/>
      <w:r w:rsidRPr="00507B2D">
        <w:rPr>
          <w:sz w:val="28"/>
          <w:szCs w:val="28"/>
        </w:rPr>
        <w:t>госзакупок</w:t>
      </w:r>
      <w:proofErr w:type="spellEnd"/>
      <w:r w:rsidRPr="00507B2D">
        <w:rPr>
          <w:sz w:val="28"/>
          <w:szCs w:val="28"/>
        </w:rPr>
        <w:t xml:space="preserve"> Свердловской области ежегодно путём направления запросов заказчикам (исполнительным органам государственной власти Свердловской области, органам местного самоуправления муниципальных образований, расположенных на территории Свердловской области), анализа информации, полученной из </w:t>
      </w:r>
      <w:r w:rsidR="005D7A89" w:rsidRPr="007E2272">
        <w:rPr>
          <w:color w:val="000000"/>
          <w:sz w:val="28"/>
          <w:szCs w:val="28"/>
        </w:rPr>
        <w:t>Единой информационной системы в сфере закупок в информационно-телекоммуникационной сети Интернет (www.zakupki.gov.ru) (далее – ЕИС)</w:t>
      </w:r>
      <w:r w:rsidRPr="00507B2D">
        <w:rPr>
          <w:sz w:val="28"/>
          <w:szCs w:val="28"/>
        </w:rPr>
        <w:t>, а также путём анализа:</w:t>
      </w:r>
      <w:proofErr w:type="gramEnd"/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основных нарушений, допускаемых заказчиками Свердловской области при направлении заявок на определение поставщиков (подрядчиков, исполнителей);</w:t>
      </w:r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 xml:space="preserve">нарушений, выявленных в утверждённой заказчиком </w:t>
      </w:r>
      <w:r w:rsidR="00A22986" w:rsidRPr="00973D5F">
        <w:rPr>
          <w:sz w:val="28"/>
          <w:szCs w:val="28"/>
        </w:rPr>
        <w:t xml:space="preserve">аукционной (конкурсной) </w:t>
      </w:r>
      <w:r w:rsidRPr="00973D5F">
        <w:rPr>
          <w:sz w:val="28"/>
          <w:szCs w:val="28"/>
        </w:rPr>
        <w:t>документации,</w:t>
      </w:r>
      <w:r w:rsidR="003242BF" w:rsidRPr="00973D5F">
        <w:rPr>
          <w:sz w:val="28"/>
          <w:szCs w:val="28"/>
        </w:rPr>
        <w:t xml:space="preserve"> </w:t>
      </w:r>
      <w:r w:rsidRPr="00973D5F">
        <w:rPr>
          <w:sz w:val="28"/>
          <w:szCs w:val="28"/>
        </w:rPr>
        <w:t xml:space="preserve">в ходе работы аукционной (конкурсной) комиссии Департамента </w:t>
      </w:r>
      <w:proofErr w:type="spellStart"/>
      <w:r w:rsidRPr="00973D5F">
        <w:rPr>
          <w:sz w:val="28"/>
          <w:szCs w:val="28"/>
        </w:rPr>
        <w:t>госзакупок</w:t>
      </w:r>
      <w:proofErr w:type="spellEnd"/>
      <w:r w:rsidRPr="00973D5F">
        <w:rPr>
          <w:sz w:val="28"/>
          <w:szCs w:val="28"/>
        </w:rPr>
        <w:t xml:space="preserve"> Свердловской области;</w:t>
      </w:r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процедур определения поставщиков (подрядчиков, исполнителей), размещённых на Общероссийском официальном сайте закупок;</w:t>
      </w:r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обращений представителей заказчиков, поступивших в Департамент</w:t>
      </w:r>
      <w:r w:rsidR="00C00A66" w:rsidRPr="00973D5F">
        <w:rPr>
          <w:sz w:val="28"/>
          <w:szCs w:val="28"/>
        </w:rPr>
        <w:t xml:space="preserve"> </w:t>
      </w:r>
      <w:proofErr w:type="spellStart"/>
      <w:r w:rsidR="00C00A66" w:rsidRPr="00973D5F">
        <w:rPr>
          <w:sz w:val="28"/>
          <w:szCs w:val="28"/>
        </w:rPr>
        <w:t>госзакупок</w:t>
      </w:r>
      <w:proofErr w:type="spellEnd"/>
      <w:r w:rsidR="00C00A66" w:rsidRPr="00973D5F">
        <w:rPr>
          <w:sz w:val="28"/>
          <w:szCs w:val="28"/>
        </w:rPr>
        <w:t xml:space="preserve"> Свердловской области, </w:t>
      </w:r>
      <w:r w:rsidRPr="00973D5F">
        <w:rPr>
          <w:sz w:val="28"/>
          <w:szCs w:val="28"/>
        </w:rPr>
        <w:t>в том числе в ходе семинаров, через электронную приёмную, на «горячую линию» по вопросам применения законодательства о закупках;</w:t>
      </w:r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жалоб и результатов их рассмотрения в органах, осуществляющих контроль в сфере закупок;</w:t>
      </w:r>
    </w:p>
    <w:p w:rsidR="001422DF" w:rsidRPr="00973D5F" w:rsidRDefault="001422DF" w:rsidP="00E40314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73D5F">
        <w:rPr>
          <w:sz w:val="28"/>
          <w:szCs w:val="28"/>
        </w:rPr>
        <w:t>основных нарушений, выявленных контрольными органами в ходе проверок соблюдения законодательства о контрактной системе.</w:t>
      </w:r>
    </w:p>
    <w:p w:rsidR="001422DF" w:rsidRPr="00A85667" w:rsidRDefault="00CF7DFA" w:rsidP="001422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73D5F">
        <w:rPr>
          <w:sz w:val="28"/>
          <w:szCs w:val="28"/>
        </w:rPr>
        <w:t xml:space="preserve">По итогам </w:t>
      </w:r>
      <w:r w:rsidRPr="00973D5F">
        <w:rPr>
          <w:bCs/>
          <w:iCs/>
          <w:sz w:val="28"/>
          <w:szCs w:val="28"/>
        </w:rPr>
        <w:t>м</w:t>
      </w:r>
      <w:r w:rsidRPr="00973D5F">
        <w:rPr>
          <w:sz w:val="28"/>
          <w:szCs w:val="28"/>
        </w:rPr>
        <w:t>ониторинга реализации Закона о контрактной</w:t>
      </w:r>
      <w:r w:rsidRPr="00A22986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Департаментом </w:t>
      </w:r>
      <w:proofErr w:type="spellStart"/>
      <w:r>
        <w:rPr>
          <w:sz w:val="28"/>
          <w:szCs w:val="28"/>
        </w:rPr>
        <w:t>госзакупок</w:t>
      </w:r>
      <w:proofErr w:type="spellEnd"/>
      <w:r>
        <w:rPr>
          <w:sz w:val="28"/>
          <w:szCs w:val="28"/>
        </w:rPr>
        <w:t xml:space="preserve"> Свердловской области готовятся </w:t>
      </w:r>
      <w:r w:rsidR="00991482">
        <w:rPr>
          <w:sz w:val="28"/>
          <w:szCs w:val="28"/>
        </w:rPr>
        <w:t xml:space="preserve">предложения по внесению изменений в нормативную правовую базу Свердловской области в сфере закупок, в адрес заказчиков направляются соответствующие информационные </w:t>
      </w:r>
      <w:r w:rsidR="00991482">
        <w:rPr>
          <w:sz w:val="28"/>
          <w:szCs w:val="28"/>
        </w:rPr>
        <w:lastRenderedPageBreak/>
        <w:t>письма о разъяснении отдельных норм законодательства в сфере закупок, разрабатываются и доводятся до сведения заказчиков методические рекомендации, проводится иная работа с заказчиками.</w:t>
      </w:r>
      <w:proofErr w:type="gramEnd"/>
    </w:p>
    <w:p w:rsidR="00C4090A" w:rsidRDefault="003E4A9C" w:rsidP="003E4A9C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E5264" w:rsidRPr="00BF537E" w:rsidRDefault="00AE5264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BF537E">
        <w:rPr>
          <w:i/>
          <w:color w:val="auto"/>
          <w:sz w:val="28"/>
          <w:szCs w:val="28"/>
        </w:rPr>
        <w:lastRenderedPageBreak/>
        <w:t xml:space="preserve">ГЛАВА </w:t>
      </w:r>
      <w:r w:rsidRPr="00BF537E">
        <w:rPr>
          <w:i/>
          <w:color w:val="auto"/>
          <w:sz w:val="28"/>
          <w:szCs w:val="28"/>
          <w:lang w:val="en-US"/>
        </w:rPr>
        <w:t>I</w:t>
      </w:r>
    </w:p>
    <w:p w:rsidR="00AE5264" w:rsidRPr="00BF537E" w:rsidRDefault="00AE5264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BF537E">
        <w:rPr>
          <w:i/>
          <w:color w:val="auto"/>
          <w:sz w:val="28"/>
          <w:szCs w:val="28"/>
        </w:rPr>
        <w:t>Анализ деятельности заказчиков, финансируемых за счет средств областного бюджета</w:t>
      </w:r>
    </w:p>
    <w:p w:rsidR="004008C2" w:rsidRPr="00BF537E" w:rsidRDefault="003242BF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1422DF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1. </w:t>
      </w:r>
      <w:r w:rsidR="004008C2" w:rsidRPr="00BF537E">
        <w:rPr>
          <w:rFonts w:ascii="Times New Roman" w:hAnsi="Times New Roman" w:cs="Times New Roman"/>
          <w:i/>
          <w:color w:val="auto"/>
          <w:sz w:val="28"/>
          <w:szCs w:val="28"/>
        </w:rPr>
        <w:t>Планирование закупок</w:t>
      </w:r>
    </w:p>
    <w:p w:rsidR="00AA2953" w:rsidRPr="004008C2" w:rsidRDefault="00AA2953" w:rsidP="00AA295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E1A98" w:rsidRDefault="006E1A98" w:rsidP="006E1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со статьей 17 </w:t>
      </w:r>
      <w:r w:rsidRPr="00A85667">
        <w:rPr>
          <w:sz w:val="28"/>
          <w:szCs w:val="28"/>
        </w:rPr>
        <w:t>Закона о контрактной системе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планы закупок формируются заказчиками исходя из целей осуществления закупок, определенных с учетом положений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а также с учетом установленных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>
        <w:rPr>
          <w:rFonts w:eastAsiaTheme="minorHAnsi"/>
          <w:sz w:val="28"/>
          <w:szCs w:val="28"/>
          <w:lang w:eastAsia="en-US"/>
        </w:rPr>
        <w:t>, муниципальных органов.</w:t>
      </w:r>
    </w:p>
    <w:p w:rsidR="006E1A98" w:rsidRDefault="006E1A98" w:rsidP="006E1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</w:t>
      </w:r>
      <w:r w:rsidRPr="006E1A98">
        <w:rPr>
          <w:rFonts w:eastAsiaTheme="minorHAnsi"/>
          <w:b/>
          <w:i/>
          <w:sz w:val="28"/>
          <w:szCs w:val="28"/>
          <w:lang w:eastAsia="en-US"/>
        </w:rPr>
        <w:t>течение десяти рабочих дней</w:t>
      </w:r>
      <w:r>
        <w:rPr>
          <w:rFonts w:eastAsiaTheme="minorHAnsi"/>
          <w:sz w:val="28"/>
          <w:szCs w:val="28"/>
          <w:lang w:eastAsia="en-US"/>
        </w:rPr>
        <w:t xml:space="preserve">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законодательством Российской Федерации.</w:t>
      </w:r>
    </w:p>
    <w:p w:rsidR="006E1A98" w:rsidRDefault="006E1A98" w:rsidP="006E1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F2C96" w:rsidRDefault="006E1A98" w:rsidP="006E1A98">
      <w:pPr>
        <w:autoSpaceDE w:val="0"/>
        <w:autoSpaceDN w:val="0"/>
        <w:adjustRightInd w:val="0"/>
        <w:ind w:firstLine="709"/>
        <w:jc w:val="center"/>
        <w:outlineLvl w:val="0"/>
        <w:rPr>
          <w:b/>
          <w:i/>
          <w:sz w:val="28"/>
          <w:szCs w:val="28"/>
        </w:rPr>
      </w:pPr>
      <w:r w:rsidRPr="000B3CA6">
        <w:rPr>
          <w:b/>
          <w:i/>
          <w:sz w:val="28"/>
          <w:szCs w:val="28"/>
        </w:rPr>
        <w:t>Ход размещения закупок заказчиками Свердловской области  за 2016 год</w:t>
      </w:r>
      <w:r>
        <w:rPr>
          <w:b/>
          <w:i/>
          <w:sz w:val="28"/>
          <w:szCs w:val="28"/>
        </w:rPr>
        <w:t xml:space="preserve"> </w:t>
      </w:r>
      <w:r w:rsidR="000F2C96">
        <w:rPr>
          <w:noProof/>
        </w:rPr>
        <w:drawing>
          <wp:inline distT="0" distB="0" distL="0" distR="0" wp14:anchorId="54EDDA23" wp14:editId="43D6502C">
            <wp:extent cx="6445135" cy="2565862"/>
            <wp:effectExtent l="0" t="0" r="0" b="0"/>
            <wp:docPr id="12" name="image1.png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1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13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62" cy="25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E0F" w:rsidRDefault="00207E0F" w:rsidP="006E1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как видно из графика, во-первых ярко выражена неравномерность планирования заказчиками Свердловской области  закупок по месяцам; во-вторых запланированный объем  закупок  - </w:t>
      </w:r>
      <w:r w:rsidRPr="007A13AD">
        <w:rPr>
          <w:rFonts w:eastAsiaTheme="minorHAnsi"/>
          <w:b/>
          <w:i/>
          <w:sz w:val="28"/>
          <w:szCs w:val="28"/>
          <w:lang w:eastAsia="en-US"/>
        </w:rPr>
        <w:t>55 114,6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млрд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ублей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выполнен лишь на </w:t>
      </w:r>
      <w:r w:rsidRPr="007A13AD">
        <w:rPr>
          <w:rFonts w:eastAsiaTheme="minorHAnsi"/>
          <w:b/>
          <w:sz w:val="28"/>
          <w:szCs w:val="28"/>
          <w:lang w:eastAsia="en-US"/>
        </w:rPr>
        <w:t>82,3%</w:t>
      </w:r>
      <w:r>
        <w:rPr>
          <w:rFonts w:eastAsiaTheme="minorHAnsi"/>
          <w:sz w:val="28"/>
          <w:szCs w:val="28"/>
          <w:lang w:eastAsia="en-US"/>
        </w:rPr>
        <w:t xml:space="preserve">  - </w:t>
      </w:r>
      <w:r w:rsidR="003301D5">
        <w:rPr>
          <w:rFonts w:eastAsiaTheme="minorHAnsi"/>
          <w:sz w:val="28"/>
          <w:szCs w:val="28"/>
          <w:lang w:eastAsia="en-US"/>
        </w:rPr>
        <w:t xml:space="preserve">размещено извещений  на сумму </w:t>
      </w:r>
      <w:r w:rsidRPr="007A13AD">
        <w:rPr>
          <w:rFonts w:eastAsiaTheme="minorHAnsi"/>
          <w:b/>
          <w:i/>
          <w:sz w:val="28"/>
          <w:szCs w:val="28"/>
          <w:lang w:eastAsia="en-US"/>
        </w:rPr>
        <w:t>47 245,5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млрд.рублей</w:t>
      </w:r>
      <w:proofErr w:type="spellEnd"/>
      <w:r w:rsidR="003301D5">
        <w:rPr>
          <w:rFonts w:eastAsiaTheme="minorHAnsi"/>
          <w:sz w:val="28"/>
          <w:szCs w:val="28"/>
          <w:lang w:eastAsia="en-US"/>
        </w:rPr>
        <w:t xml:space="preserve">. </w:t>
      </w:r>
    </w:p>
    <w:p w:rsidR="00705CC2" w:rsidRDefault="0042576D" w:rsidP="006E1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76D">
        <w:rPr>
          <w:sz w:val="28"/>
          <w:szCs w:val="28"/>
        </w:rPr>
        <w:t>Основным затруднением, снижающим эффективность проводимых закупочных процедур</w:t>
      </w:r>
      <w:r>
        <w:rPr>
          <w:sz w:val="28"/>
          <w:szCs w:val="28"/>
        </w:rPr>
        <w:t>,</w:t>
      </w:r>
      <w:r w:rsidRPr="0042576D">
        <w:rPr>
          <w:sz w:val="28"/>
          <w:szCs w:val="28"/>
        </w:rPr>
        <w:t xml:space="preserve"> является низкоэффективная система планирования государственных закупок</w:t>
      </w:r>
      <w:r w:rsidR="00705CC2">
        <w:rPr>
          <w:sz w:val="28"/>
          <w:szCs w:val="28"/>
        </w:rPr>
        <w:t>.</w:t>
      </w:r>
    </w:p>
    <w:p w:rsidR="007828A0" w:rsidRPr="00BF537E" w:rsidRDefault="00AA2953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Раздел 2.</w:t>
      </w:r>
      <w:r w:rsidR="007828A0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Размещение заказчиками информации </w:t>
      </w:r>
      <w:r w:rsidR="00CD3C79" w:rsidRPr="00BF537E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7828A0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закупках</w:t>
      </w:r>
    </w:p>
    <w:p w:rsidR="001422DF" w:rsidRPr="00A85667" w:rsidRDefault="001422DF" w:rsidP="001422D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85667">
        <w:rPr>
          <w:sz w:val="28"/>
          <w:szCs w:val="28"/>
        </w:rPr>
        <w:t xml:space="preserve">Заказчики при осуществлении закупок используют конкурентные </w:t>
      </w:r>
      <w:hyperlink r:id="rId13" w:history="1">
        <w:r w:rsidRPr="00A85667">
          <w:rPr>
            <w:sz w:val="28"/>
            <w:szCs w:val="28"/>
          </w:rPr>
          <w:t>способы</w:t>
        </w:r>
      </w:hyperlink>
      <w:r w:rsidRPr="00A85667">
        <w:rPr>
          <w:sz w:val="28"/>
          <w:szCs w:val="28"/>
        </w:rPr>
        <w:t xml:space="preserve"> определения поставщиков (подрядчиков, исполнителей) или осуществляют закупки у единственного поставщика (подрядчика, исполнителя) (часть 1 статьи 24 Закона о контрактной системе).</w:t>
      </w:r>
    </w:p>
    <w:p w:rsidR="001422DF" w:rsidRPr="00A85667" w:rsidRDefault="001422DF" w:rsidP="001422D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A85667">
        <w:rPr>
          <w:b/>
          <w:i/>
          <w:sz w:val="28"/>
          <w:szCs w:val="28"/>
        </w:rPr>
        <w:t xml:space="preserve">Конкурентными способами определения поставщиков (подрядчиков, исполнителей) являются </w:t>
      </w:r>
      <w:r w:rsidRPr="00A85667">
        <w:rPr>
          <w:sz w:val="28"/>
          <w:szCs w:val="28"/>
        </w:rPr>
        <w:t>(часть 2 статьи 24 Закона о контрактной системе)</w:t>
      </w:r>
      <w:r w:rsidR="00A22986">
        <w:rPr>
          <w:b/>
          <w:i/>
          <w:sz w:val="28"/>
          <w:szCs w:val="28"/>
        </w:rPr>
        <w:t>:</w:t>
      </w:r>
    </w:p>
    <w:p w:rsidR="001422DF" w:rsidRPr="00A22986" w:rsidRDefault="00A22986" w:rsidP="004E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9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422DF" w:rsidRPr="00A22986">
        <w:rPr>
          <w:sz w:val="28"/>
          <w:szCs w:val="28"/>
        </w:rPr>
        <w:t>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</w:p>
    <w:p w:rsidR="001422DF" w:rsidRPr="00A22986" w:rsidRDefault="00A22986" w:rsidP="004E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986">
        <w:rPr>
          <w:sz w:val="28"/>
          <w:szCs w:val="28"/>
        </w:rPr>
        <w:t xml:space="preserve">2. </w:t>
      </w:r>
      <w:r w:rsidR="001422DF" w:rsidRPr="00A22986">
        <w:rPr>
          <w:sz w:val="28"/>
          <w:szCs w:val="28"/>
        </w:rPr>
        <w:t>аукционы (аукцион в электронной форме, закрытый аукцион);</w:t>
      </w:r>
    </w:p>
    <w:p w:rsidR="001422DF" w:rsidRPr="00A22986" w:rsidRDefault="00A22986" w:rsidP="004E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22DF" w:rsidRPr="00A22986">
        <w:rPr>
          <w:sz w:val="28"/>
          <w:szCs w:val="28"/>
        </w:rPr>
        <w:t>запрос котировок;</w:t>
      </w:r>
    </w:p>
    <w:p w:rsidR="001422DF" w:rsidRDefault="00A22986" w:rsidP="004E1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986">
        <w:rPr>
          <w:sz w:val="28"/>
          <w:szCs w:val="28"/>
        </w:rPr>
        <w:t xml:space="preserve">4. </w:t>
      </w:r>
      <w:r w:rsidR="001422DF" w:rsidRPr="00A22986">
        <w:rPr>
          <w:sz w:val="28"/>
          <w:szCs w:val="28"/>
        </w:rPr>
        <w:t>запрос предложений.</w:t>
      </w:r>
    </w:p>
    <w:p w:rsidR="002D6EF2" w:rsidRPr="00956D16" w:rsidRDefault="002D6EF2" w:rsidP="002D6EF2">
      <w:pPr>
        <w:ind w:firstLine="709"/>
        <w:rPr>
          <w:bCs/>
          <w:sz w:val="28"/>
          <w:szCs w:val="28"/>
        </w:rPr>
      </w:pPr>
      <w:r w:rsidRPr="00956D16">
        <w:rPr>
          <w:sz w:val="28"/>
          <w:szCs w:val="28"/>
        </w:rPr>
        <w:t xml:space="preserve">По </w:t>
      </w:r>
      <w:r w:rsidR="00392656">
        <w:rPr>
          <w:sz w:val="28"/>
          <w:szCs w:val="28"/>
        </w:rPr>
        <w:t>данным</w:t>
      </w:r>
      <w:r w:rsidRPr="00956D16">
        <w:rPr>
          <w:sz w:val="28"/>
          <w:szCs w:val="28"/>
        </w:rPr>
        <w:t xml:space="preserve"> ЕИС, в</w:t>
      </w:r>
      <w:r w:rsidRPr="00956D16">
        <w:rPr>
          <w:bCs/>
          <w:sz w:val="28"/>
          <w:szCs w:val="28"/>
        </w:rPr>
        <w:t xml:space="preserve"> 2016 году государственные заказчики Свердловской области осуществляли закупки следующими способами (с учётом повторных процедур):</w:t>
      </w:r>
      <w:r w:rsidRPr="002D6EF2">
        <w:rPr>
          <w:b/>
          <w:i/>
          <w:noProof/>
          <w:sz w:val="28"/>
          <w:szCs w:val="28"/>
        </w:rPr>
        <w:t xml:space="preserve"> </w:t>
      </w:r>
    </w:p>
    <w:p w:rsidR="002D6EF2" w:rsidRPr="00956D16" w:rsidRDefault="002D6EF2" w:rsidP="002D6EF2">
      <w:pPr>
        <w:pStyle w:val="ae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u w:val="single"/>
        </w:rPr>
      </w:pPr>
      <w:r w:rsidRPr="00F82AD7">
        <w:rPr>
          <w:b/>
          <w:i/>
          <w:sz w:val="28"/>
          <w:szCs w:val="28"/>
          <w:u w:val="single"/>
        </w:rPr>
        <w:t xml:space="preserve">конкурентными </w:t>
      </w:r>
      <w:hyperlink r:id="rId14" w:history="1">
        <w:proofErr w:type="gramStart"/>
        <w:r w:rsidRPr="00F82AD7">
          <w:rPr>
            <w:rStyle w:val="af4"/>
            <w:b/>
            <w:i/>
            <w:color w:val="auto"/>
            <w:sz w:val="28"/>
            <w:szCs w:val="28"/>
            <w:u w:val="single"/>
          </w:rPr>
          <w:t>способ</w:t>
        </w:r>
      </w:hyperlink>
      <w:r w:rsidRPr="00F82AD7">
        <w:rPr>
          <w:b/>
          <w:i/>
          <w:sz w:val="28"/>
          <w:szCs w:val="28"/>
          <w:u w:val="single"/>
        </w:rPr>
        <w:t>ами</w:t>
      </w:r>
      <w:proofErr w:type="gramEnd"/>
      <w:r w:rsidRPr="00F82AD7">
        <w:rPr>
          <w:b/>
          <w:i/>
          <w:sz w:val="28"/>
          <w:szCs w:val="28"/>
          <w:u w:val="single"/>
        </w:rPr>
        <w:t xml:space="preserve"> </w:t>
      </w:r>
      <w:r w:rsidRPr="00956D16">
        <w:rPr>
          <w:b/>
          <w:i/>
          <w:sz w:val="28"/>
          <w:szCs w:val="28"/>
          <w:u w:val="single"/>
        </w:rPr>
        <w:t>определения поставщиков (подрядчиков, исполнителей):</w:t>
      </w:r>
    </w:p>
    <w:p w:rsidR="002D6EF2" w:rsidRDefault="007A4473" w:rsidP="002D6EF2">
      <w:pPr>
        <w:ind w:firstLine="709"/>
        <w:rPr>
          <w:sz w:val="28"/>
          <w:szCs w:val="28"/>
        </w:rPr>
      </w:pPr>
      <w:r w:rsidRPr="00004ECC">
        <w:rPr>
          <w:b/>
          <w:i/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0FCE9190" wp14:editId="02B2F22B">
            <wp:simplePos x="0" y="0"/>
            <wp:positionH relativeFrom="column">
              <wp:posOffset>2506345</wp:posOffset>
            </wp:positionH>
            <wp:positionV relativeFrom="paragraph">
              <wp:posOffset>3162300</wp:posOffset>
            </wp:positionV>
            <wp:extent cx="4222750" cy="2593340"/>
            <wp:effectExtent l="0" t="0" r="6350" b="0"/>
            <wp:wrapSquare wrapText="bothSides"/>
            <wp:docPr id="4107" name="Диаграмма 4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EF2" w:rsidRPr="00004ECC">
        <w:rPr>
          <w:b/>
          <w:i/>
          <w:noProof/>
          <w:sz w:val="28"/>
          <w:szCs w:val="28"/>
        </w:rPr>
        <w:drawing>
          <wp:anchor distT="0" distB="0" distL="114300" distR="114300" simplePos="0" relativeHeight="251684352" behindDoc="0" locked="0" layoutInCell="1" allowOverlap="1" wp14:anchorId="26011F95" wp14:editId="1425674F">
            <wp:simplePos x="0" y="0"/>
            <wp:positionH relativeFrom="column">
              <wp:posOffset>2581275</wp:posOffset>
            </wp:positionH>
            <wp:positionV relativeFrom="paragraph">
              <wp:posOffset>136525</wp:posOffset>
            </wp:positionV>
            <wp:extent cx="3831590" cy="2917190"/>
            <wp:effectExtent l="0" t="0" r="0" b="0"/>
            <wp:wrapSquare wrapText="bothSides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6EF2" w:rsidRPr="00956D16">
        <w:rPr>
          <w:b/>
          <w:bCs/>
          <w:i/>
          <w:sz w:val="28"/>
          <w:szCs w:val="28"/>
        </w:rPr>
        <w:t xml:space="preserve">по количеству извещений – 34 895 </w:t>
      </w:r>
      <w:r w:rsidR="002D6EF2" w:rsidRPr="00956D16">
        <w:rPr>
          <w:bCs/>
          <w:sz w:val="28"/>
          <w:szCs w:val="28"/>
        </w:rPr>
        <w:t>закупок</w:t>
      </w:r>
      <w:r w:rsidR="002D6EF2" w:rsidRPr="00956D16">
        <w:rPr>
          <w:sz w:val="28"/>
          <w:szCs w:val="28"/>
        </w:rPr>
        <w:t xml:space="preserve">, что составляет </w:t>
      </w:r>
      <w:r w:rsidR="002D6EF2" w:rsidRPr="00956D16">
        <w:rPr>
          <w:b/>
          <w:i/>
          <w:sz w:val="28"/>
          <w:szCs w:val="28"/>
        </w:rPr>
        <w:t>90,3 процента</w:t>
      </w:r>
      <w:r w:rsidR="002D6EF2" w:rsidRPr="00956D16">
        <w:rPr>
          <w:sz w:val="28"/>
          <w:szCs w:val="28"/>
        </w:rPr>
        <w:t xml:space="preserve"> от общего количества закупок (без учёта закупок малого объёма) </w:t>
      </w:r>
      <w:r w:rsidR="002D6EF2" w:rsidRPr="00956D16">
        <w:rPr>
          <w:bCs/>
          <w:i/>
          <w:sz w:val="28"/>
          <w:szCs w:val="28"/>
        </w:rPr>
        <w:t>(в 2015 году –88,1 процента)</w:t>
      </w:r>
      <w:r w:rsidR="002D6EF2" w:rsidRPr="00956D16">
        <w:rPr>
          <w:sz w:val="28"/>
          <w:szCs w:val="28"/>
        </w:rPr>
        <w:t xml:space="preserve">, из них </w:t>
      </w:r>
      <w:r w:rsidR="002D6EF2" w:rsidRPr="00956D16">
        <w:rPr>
          <w:b/>
          <w:i/>
          <w:sz w:val="28"/>
          <w:szCs w:val="28"/>
        </w:rPr>
        <w:t>29 100</w:t>
      </w:r>
      <w:r w:rsidR="002D6EF2" w:rsidRPr="00956D16">
        <w:rPr>
          <w:sz w:val="28"/>
          <w:szCs w:val="28"/>
        </w:rPr>
        <w:t xml:space="preserve"> извещений или </w:t>
      </w:r>
      <w:r w:rsidR="002D6EF2" w:rsidRPr="00956D16">
        <w:rPr>
          <w:b/>
          <w:i/>
          <w:sz w:val="28"/>
          <w:szCs w:val="28"/>
        </w:rPr>
        <w:t xml:space="preserve">83,3 процента </w:t>
      </w:r>
      <w:r w:rsidR="002D6EF2" w:rsidRPr="00956D16">
        <w:rPr>
          <w:sz w:val="28"/>
          <w:szCs w:val="28"/>
        </w:rPr>
        <w:t xml:space="preserve">закупок – путём проведения аукциона, </w:t>
      </w:r>
      <w:r w:rsidR="002D6EF2" w:rsidRPr="00956D16">
        <w:rPr>
          <w:b/>
          <w:i/>
          <w:sz w:val="28"/>
          <w:szCs w:val="28"/>
        </w:rPr>
        <w:t xml:space="preserve">5 567 </w:t>
      </w:r>
      <w:r w:rsidR="002D6EF2" w:rsidRPr="00956D16">
        <w:rPr>
          <w:sz w:val="28"/>
          <w:szCs w:val="28"/>
        </w:rPr>
        <w:t xml:space="preserve">или </w:t>
      </w:r>
      <w:r w:rsidR="002D6EF2" w:rsidRPr="00956D16">
        <w:rPr>
          <w:b/>
          <w:i/>
          <w:sz w:val="28"/>
          <w:szCs w:val="28"/>
        </w:rPr>
        <w:t>15,9 процента</w:t>
      </w:r>
      <w:r w:rsidR="002D6EF2" w:rsidRPr="00956D16">
        <w:rPr>
          <w:sz w:val="28"/>
          <w:szCs w:val="28"/>
        </w:rPr>
        <w:t xml:space="preserve"> – путём запроса котировок, </w:t>
      </w:r>
      <w:r w:rsidR="002D6EF2" w:rsidRPr="00956D16">
        <w:rPr>
          <w:sz w:val="28"/>
          <w:szCs w:val="28"/>
        </w:rPr>
        <w:br/>
      </w:r>
      <w:r w:rsidR="002D6EF2" w:rsidRPr="00956D16">
        <w:rPr>
          <w:b/>
          <w:i/>
          <w:sz w:val="28"/>
          <w:szCs w:val="28"/>
        </w:rPr>
        <w:t xml:space="preserve">197 </w:t>
      </w:r>
      <w:r w:rsidR="002D6EF2" w:rsidRPr="00956D16">
        <w:rPr>
          <w:sz w:val="28"/>
          <w:szCs w:val="28"/>
        </w:rPr>
        <w:t xml:space="preserve">или </w:t>
      </w:r>
      <w:r w:rsidR="002D6EF2" w:rsidRPr="00956D16">
        <w:rPr>
          <w:b/>
          <w:i/>
          <w:sz w:val="28"/>
          <w:szCs w:val="28"/>
        </w:rPr>
        <w:t>0,56 процента</w:t>
      </w:r>
      <w:r w:rsidR="002D6EF2" w:rsidRPr="00956D16">
        <w:rPr>
          <w:sz w:val="28"/>
          <w:szCs w:val="28"/>
        </w:rPr>
        <w:t xml:space="preserve"> – путём проведения конкурса, </w:t>
      </w:r>
      <w:r w:rsidR="002D6EF2" w:rsidRPr="00956D16">
        <w:rPr>
          <w:b/>
          <w:i/>
          <w:sz w:val="28"/>
          <w:szCs w:val="28"/>
        </w:rPr>
        <w:t>31</w:t>
      </w:r>
      <w:r w:rsidR="002D6EF2" w:rsidRPr="00956D16">
        <w:rPr>
          <w:sz w:val="28"/>
          <w:szCs w:val="28"/>
        </w:rPr>
        <w:t xml:space="preserve"> или </w:t>
      </w:r>
      <w:r w:rsidR="002D6EF2" w:rsidRPr="00956D16">
        <w:rPr>
          <w:b/>
          <w:i/>
          <w:sz w:val="28"/>
          <w:szCs w:val="28"/>
        </w:rPr>
        <w:t>0,01 процента</w:t>
      </w:r>
      <w:r w:rsidR="002D6EF2" w:rsidRPr="00956D16">
        <w:rPr>
          <w:sz w:val="28"/>
          <w:szCs w:val="28"/>
        </w:rPr>
        <w:t xml:space="preserve"> – путём запроса предложений;</w:t>
      </w:r>
      <w:r w:rsidR="002D6EF2" w:rsidRPr="002D6EF2">
        <w:rPr>
          <w:b/>
          <w:i/>
          <w:noProof/>
          <w:sz w:val="28"/>
          <w:szCs w:val="28"/>
        </w:rPr>
        <w:t xml:space="preserve"> </w:t>
      </w:r>
      <w:proofErr w:type="gramEnd"/>
    </w:p>
    <w:p w:rsidR="00B03419" w:rsidRDefault="00B03419" w:rsidP="002D6EF2">
      <w:pPr>
        <w:ind w:firstLine="709"/>
        <w:rPr>
          <w:b/>
          <w:i/>
          <w:sz w:val="28"/>
          <w:szCs w:val="28"/>
        </w:rPr>
      </w:pPr>
    </w:p>
    <w:p w:rsidR="002D6EF2" w:rsidRPr="00D10189" w:rsidRDefault="002D6EF2" w:rsidP="002D6EF2">
      <w:pPr>
        <w:ind w:firstLine="709"/>
        <w:rPr>
          <w:sz w:val="28"/>
          <w:szCs w:val="28"/>
        </w:rPr>
      </w:pPr>
      <w:proofErr w:type="gramStart"/>
      <w:r w:rsidRPr="00D10189">
        <w:rPr>
          <w:b/>
          <w:i/>
          <w:sz w:val="28"/>
          <w:szCs w:val="28"/>
        </w:rPr>
        <w:t xml:space="preserve">по сумме закупок </w:t>
      </w:r>
      <w:r w:rsidRPr="00D10189">
        <w:rPr>
          <w:sz w:val="28"/>
          <w:szCs w:val="28"/>
        </w:rPr>
        <w:t xml:space="preserve">– </w:t>
      </w:r>
      <w:r w:rsidRPr="00D10189">
        <w:rPr>
          <w:b/>
          <w:i/>
          <w:sz w:val="28"/>
          <w:szCs w:val="28"/>
        </w:rPr>
        <w:t>44 218,4 млн. руб.</w:t>
      </w:r>
      <w:r w:rsidRPr="00D10189">
        <w:rPr>
          <w:sz w:val="28"/>
          <w:szCs w:val="28"/>
        </w:rPr>
        <w:t xml:space="preserve">, что составляет </w:t>
      </w:r>
      <w:r w:rsidRPr="00D10189">
        <w:rPr>
          <w:b/>
          <w:i/>
          <w:sz w:val="28"/>
          <w:szCs w:val="28"/>
        </w:rPr>
        <w:t xml:space="preserve">93,5 процента </w:t>
      </w:r>
      <w:r w:rsidRPr="00D10189">
        <w:rPr>
          <w:b/>
          <w:i/>
          <w:sz w:val="28"/>
          <w:szCs w:val="28"/>
        </w:rPr>
        <w:br/>
      </w:r>
      <w:r w:rsidRPr="00D10189">
        <w:rPr>
          <w:sz w:val="28"/>
          <w:szCs w:val="28"/>
        </w:rPr>
        <w:t>от</w:t>
      </w:r>
      <w:r w:rsidRPr="00D10189">
        <w:rPr>
          <w:b/>
          <w:i/>
          <w:sz w:val="28"/>
          <w:szCs w:val="28"/>
        </w:rPr>
        <w:t xml:space="preserve"> </w:t>
      </w:r>
      <w:r w:rsidRPr="00D10189">
        <w:rPr>
          <w:sz w:val="28"/>
          <w:szCs w:val="28"/>
        </w:rPr>
        <w:t>общей суммы закупок (без учёта закупок малого объёма)</w:t>
      </w:r>
      <w:r w:rsidRPr="00D10189">
        <w:rPr>
          <w:bCs/>
          <w:i/>
          <w:sz w:val="28"/>
          <w:szCs w:val="28"/>
        </w:rPr>
        <w:t xml:space="preserve"> (в 2015 году – </w:t>
      </w:r>
      <w:r w:rsidRPr="00D10189">
        <w:rPr>
          <w:bCs/>
          <w:i/>
          <w:sz w:val="28"/>
          <w:szCs w:val="28"/>
        </w:rPr>
        <w:br/>
        <w:t>96,4 процента закупок)</w:t>
      </w:r>
      <w:r w:rsidRPr="00D10189">
        <w:rPr>
          <w:sz w:val="28"/>
          <w:szCs w:val="28"/>
        </w:rPr>
        <w:t xml:space="preserve">, из них </w:t>
      </w:r>
      <w:r w:rsidRPr="00D10189">
        <w:rPr>
          <w:b/>
          <w:i/>
          <w:sz w:val="28"/>
          <w:szCs w:val="28"/>
        </w:rPr>
        <w:t>41 259,6</w:t>
      </w:r>
      <w:r w:rsidRPr="00D10189">
        <w:rPr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млн. руб.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sz w:val="28"/>
          <w:szCs w:val="28"/>
        </w:rPr>
        <w:t>или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93,3 процента</w:t>
      </w:r>
      <w:r w:rsidRPr="00D10189">
        <w:rPr>
          <w:sz w:val="28"/>
          <w:szCs w:val="28"/>
        </w:rPr>
        <w:t xml:space="preserve"> – путём проведения аукциона, </w:t>
      </w:r>
      <w:r w:rsidRPr="00D10189">
        <w:rPr>
          <w:b/>
          <w:i/>
          <w:sz w:val="28"/>
          <w:szCs w:val="28"/>
        </w:rPr>
        <w:t>2 088,7</w:t>
      </w:r>
      <w:r w:rsidRPr="00D10189">
        <w:rPr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млн. руб.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sz w:val="28"/>
          <w:szCs w:val="28"/>
        </w:rPr>
        <w:lastRenderedPageBreak/>
        <w:t>или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4,72 процента</w:t>
      </w:r>
      <w:r w:rsidRPr="00D10189">
        <w:rPr>
          <w:sz w:val="28"/>
          <w:szCs w:val="28"/>
        </w:rPr>
        <w:t xml:space="preserve"> – путём конкурса, </w:t>
      </w:r>
      <w:r w:rsidRPr="00D10189">
        <w:rPr>
          <w:b/>
          <w:i/>
          <w:sz w:val="28"/>
          <w:szCs w:val="28"/>
        </w:rPr>
        <w:t>268,5 млн. руб.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sz w:val="28"/>
          <w:szCs w:val="28"/>
        </w:rPr>
        <w:t>или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0,6 процента</w:t>
      </w:r>
      <w:r w:rsidRPr="00D10189">
        <w:rPr>
          <w:sz w:val="28"/>
          <w:szCs w:val="28"/>
        </w:rPr>
        <w:t xml:space="preserve"> – путём запроса предложений, </w:t>
      </w:r>
      <w:r w:rsidRPr="00D10189">
        <w:rPr>
          <w:sz w:val="28"/>
          <w:szCs w:val="28"/>
        </w:rPr>
        <w:br/>
      </w:r>
      <w:r w:rsidRPr="00D10189">
        <w:rPr>
          <w:b/>
          <w:i/>
          <w:sz w:val="28"/>
          <w:szCs w:val="28"/>
        </w:rPr>
        <w:t>601,5</w:t>
      </w:r>
      <w:r w:rsidRPr="00D10189">
        <w:rPr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млн. руб.</w:t>
      </w:r>
      <w:r w:rsidRPr="00D10189">
        <w:rPr>
          <w:i/>
          <w:sz w:val="28"/>
          <w:szCs w:val="28"/>
        </w:rPr>
        <w:t xml:space="preserve"> </w:t>
      </w:r>
      <w:r w:rsidRPr="00D10189">
        <w:rPr>
          <w:sz w:val="28"/>
          <w:szCs w:val="28"/>
        </w:rPr>
        <w:t>или</w:t>
      </w:r>
      <w:proofErr w:type="gramEnd"/>
      <w:r w:rsidRPr="00D10189">
        <w:rPr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>1,3 процента</w:t>
      </w:r>
      <w:r w:rsidRPr="00D10189">
        <w:rPr>
          <w:sz w:val="28"/>
          <w:szCs w:val="28"/>
        </w:rPr>
        <w:t xml:space="preserve"> – путём запроса котировок;</w:t>
      </w:r>
    </w:p>
    <w:p w:rsidR="00B03419" w:rsidRDefault="00B03419" w:rsidP="00721790">
      <w:pPr>
        <w:pStyle w:val="ae"/>
        <w:ind w:left="709"/>
        <w:jc w:val="both"/>
        <w:rPr>
          <w:b/>
          <w:i/>
          <w:sz w:val="28"/>
          <w:szCs w:val="28"/>
          <w:u w:val="single"/>
        </w:rPr>
      </w:pPr>
    </w:p>
    <w:p w:rsidR="002D6EF2" w:rsidRPr="003F0325" w:rsidRDefault="002D6EF2" w:rsidP="002D6EF2">
      <w:pPr>
        <w:pStyle w:val="ae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u w:val="single"/>
        </w:rPr>
      </w:pPr>
      <w:r w:rsidRPr="003F0325">
        <w:rPr>
          <w:b/>
          <w:i/>
          <w:sz w:val="28"/>
          <w:szCs w:val="28"/>
          <w:u w:val="single"/>
        </w:rPr>
        <w:t xml:space="preserve">неконкурентными </w:t>
      </w:r>
      <w:hyperlink r:id="rId17" w:history="1">
        <w:proofErr w:type="gramStart"/>
        <w:r w:rsidRPr="00FA06E7">
          <w:rPr>
            <w:rStyle w:val="af4"/>
            <w:b/>
            <w:i/>
            <w:color w:val="auto"/>
            <w:sz w:val="28"/>
            <w:szCs w:val="28"/>
            <w:u w:val="single"/>
          </w:rPr>
          <w:t>способ</w:t>
        </w:r>
      </w:hyperlink>
      <w:r w:rsidRPr="00FA06E7">
        <w:rPr>
          <w:b/>
          <w:i/>
          <w:sz w:val="28"/>
          <w:szCs w:val="28"/>
          <w:u w:val="single"/>
        </w:rPr>
        <w:t>ам</w:t>
      </w:r>
      <w:r w:rsidRPr="003F0325">
        <w:rPr>
          <w:b/>
          <w:i/>
          <w:sz w:val="28"/>
          <w:szCs w:val="28"/>
          <w:u w:val="single"/>
        </w:rPr>
        <w:t>и</w:t>
      </w:r>
      <w:proofErr w:type="gramEnd"/>
      <w:r w:rsidRPr="003F0325">
        <w:rPr>
          <w:b/>
          <w:i/>
          <w:sz w:val="28"/>
          <w:szCs w:val="28"/>
          <w:u w:val="single"/>
        </w:rPr>
        <w:t xml:space="preserve"> (у единственного поставщика </w:t>
      </w:r>
      <w:r w:rsidRPr="003F0325">
        <w:rPr>
          <w:b/>
          <w:bCs/>
          <w:i/>
          <w:sz w:val="28"/>
          <w:szCs w:val="28"/>
          <w:u w:val="single"/>
        </w:rPr>
        <w:t>(подрядчика, исполнителя)</w:t>
      </w:r>
      <w:r w:rsidRPr="003F0325">
        <w:rPr>
          <w:b/>
          <w:i/>
          <w:sz w:val="28"/>
          <w:szCs w:val="28"/>
          <w:u w:val="single"/>
        </w:rPr>
        <w:t>:</w:t>
      </w:r>
    </w:p>
    <w:p w:rsidR="002D6EF2" w:rsidRPr="00420046" w:rsidRDefault="002D6EF2" w:rsidP="002D6EF2">
      <w:pPr>
        <w:ind w:firstLine="709"/>
        <w:jc w:val="both"/>
        <w:rPr>
          <w:bCs/>
          <w:sz w:val="28"/>
          <w:szCs w:val="28"/>
        </w:rPr>
      </w:pPr>
      <w:r w:rsidRPr="003F0325">
        <w:rPr>
          <w:b/>
          <w:bCs/>
          <w:i/>
          <w:sz w:val="28"/>
          <w:szCs w:val="28"/>
        </w:rPr>
        <w:t xml:space="preserve">по количеству извещений – </w:t>
      </w:r>
      <w:r>
        <w:rPr>
          <w:b/>
          <w:bCs/>
          <w:i/>
          <w:sz w:val="28"/>
          <w:szCs w:val="28"/>
        </w:rPr>
        <w:t>3</w:t>
      </w:r>
      <w:r w:rsidRPr="003F0325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744</w:t>
      </w:r>
      <w:r w:rsidRPr="003F0325">
        <w:rPr>
          <w:b/>
          <w:bCs/>
          <w:i/>
          <w:sz w:val="28"/>
          <w:szCs w:val="28"/>
        </w:rPr>
        <w:t xml:space="preserve"> закупок</w:t>
      </w:r>
      <w:r w:rsidRPr="003F0325">
        <w:rPr>
          <w:bCs/>
          <w:sz w:val="28"/>
          <w:szCs w:val="28"/>
        </w:rPr>
        <w:t>, что составляет</w:t>
      </w:r>
      <w:r w:rsidRPr="003F0325">
        <w:rPr>
          <w:b/>
          <w:bCs/>
          <w:i/>
          <w:sz w:val="28"/>
          <w:szCs w:val="28"/>
        </w:rPr>
        <w:t xml:space="preserve"> 9,7 процентов </w:t>
      </w:r>
      <w:r w:rsidRPr="003F0325">
        <w:rPr>
          <w:b/>
          <w:bCs/>
          <w:i/>
          <w:sz w:val="28"/>
          <w:szCs w:val="28"/>
        </w:rPr>
        <w:br/>
      </w:r>
      <w:r w:rsidRPr="003F0325">
        <w:rPr>
          <w:sz w:val="28"/>
          <w:szCs w:val="28"/>
        </w:rPr>
        <w:t>от общего количества закупок (без учёта закупок малого объёма)</w:t>
      </w:r>
      <w:r w:rsidRPr="003F0325">
        <w:rPr>
          <w:bCs/>
          <w:sz w:val="28"/>
          <w:szCs w:val="28"/>
        </w:rPr>
        <w:t xml:space="preserve"> </w:t>
      </w:r>
      <w:r w:rsidRPr="003F0325">
        <w:rPr>
          <w:bCs/>
          <w:i/>
          <w:sz w:val="28"/>
          <w:szCs w:val="28"/>
        </w:rPr>
        <w:t>(в 2015 году – 11,</w:t>
      </w:r>
      <w:r w:rsidRPr="00420046">
        <w:rPr>
          <w:bCs/>
          <w:i/>
          <w:sz w:val="28"/>
          <w:szCs w:val="28"/>
        </w:rPr>
        <w:t>9 процента)</w:t>
      </w:r>
      <w:r w:rsidRPr="00420046">
        <w:rPr>
          <w:bCs/>
          <w:sz w:val="28"/>
          <w:szCs w:val="28"/>
        </w:rPr>
        <w:t>;</w:t>
      </w:r>
    </w:p>
    <w:p w:rsidR="002D6EF2" w:rsidRDefault="002D6EF2" w:rsidP="002D6EF2">
      <w:pPr>
        <w:ind w:firstLine="709"/>
        <w:rPr>
          <w:bCs/>
          <w:sz w:val="28"/>
          <w:szCs w:val="28"/>
        </w:rPr>
      </w:pPr>
      <w:r w:rsidRPr="00420046">
        <w:rPr>
          <w:b/>
          <w:i/>
          <w:sz w:val="28"/>
          <w:szCs w:val="28"/>
        </w:rPr>
        <w:t xml:space="preserve">по сумме закупок </w:t>
      </w:r>
      <w:r w:rsidRPr="00420046">
        <w:rPr>
          <w:sz w:val="28"/>
          <w:szCs w:val="28"/>
        </w:rPr>
        <w:t xml:space="preserve">– </w:t>
      </w:r>
      <w:r w:rsidRPr="00420046">
        <w:rPr>
          <w:b/>
          <w:i/>
          <w:sz w:val="28"/>
          <w:szCs w:val="28"/>
        </w:rPr>
        <w:t>3 023,6 млрд. руб.</w:t>
      </w:r>
      <w:r w:rsidRPr="00420046">
        <w:rPr>
          <w:sz w:val="28"/>
          <w:szCs w:val="28"/>
        </w:rPr>
        <w:t xml:space="preserve">, что составляет </w:t>
      </w:r>
      <w:r w:rsidRPr="00420046">
        <w:rPr>
          <w:b/>
          <w:i/>
          <w:sz w:val="28"/>
          <w:szCs w:val="28"/>
        </w:rPr>
        <w:t>6,4 процента</w:t>
      </w:r>
      <w:r w:rsidRPr="00420046">
        <w:rPr>
          <w:sz w:val="28"/>
          <w:szCs w:val="28"/>
        </w:rPr>
        <w:t xml:space="preserve"> закупок от общего количества закупок (без учёта закупок малого объёма)</w:t>
      </w:r>
      <w:r w:rsidRPr="00420046">
        <w:rPr>
          <w:bCs/>
          <w:sz w:val="28"/>
          <w:szCs w:val="28"/>
        </w:rPr>
        <w:t xml:space="preserve"> </w:t>
      </w:r>
      <w:r w:rsidRPr="00420046">
        <w:rPr>
          <w:bCs/>
          <w:i/>
          <w:sz w:val="28"/>
          <w:szCs w:val="28"/>
        </w:rPr>
        <w:t>(в 2015 году – 3,6 процента закупок)</w:t>
      </w:r>
      <w:r w:rsidRPr="00420046">
        <w:rPr>
          <w:bCs/>
          <w:sz w:val="28"/>
          <w:szCs w:val="28"/>
        </w:rPr>
        <w:t>.</w:t>
      </w:r>
    </w:p>
    <w:p w:rsidR="00E70C4A" w:rsidRPr="004D06E0" w:rsidRDefault="004D06E0" w:rsidP="00377021">
      <w:pPr>
        <w:spacing w:after="300"/>
        <w:ind w:firstLine="708"/>
        <w:jc w:val="both"/>
        <w:rPr>
          <w:bCs/>
          <w:sz w:val="28"/>
          <w:szCs w:val="28"/>
        </w:rPr>
      </w:pPr>
      <w:r w:rsidRPr="00377021">
        <w:rPr>
          <w:color w:val="000000"/>
          <w:sz w:val="28"/>
          <w:szCs w:val="28"/>
        </w:rPr>
        <w:t xml:space="preserve">Закупать у единственного поставщика (подрядчика, исполнителя) можно в случаях, указанных в части 1 статьи 93 </w:t>
      </w:r>
      <w:r w:rsidR="009044EA" w:rsidRPr="00377021">
        <w:rPr>
          <w:color w:val="000000"/>
          <w:sz w:val="28"/>
          <w:szCs w:val="28"/>
        </w:rPr>
        <w:t xml:space="preserve">Закона </w:t>
      </w:r>
      <w:r w:rsidR="009044EA" w:rsidRPr="00377021">
        <w:rPr>
          <w:sz w:val="28"/>
          <w:szCs w:val="28"/>
        </w:rPr>
        <w:t>о контрактной системе</w:t>
      </w:r>
      <w:r w:rsidRPr="00377021">
        <w:rPr>
          <w:color w:val="000000"/>
          <w:sz w:val="28"/>
          <w:szCs w:val="28"/>
        </w:rPr>
        <w:t>. Указанный перечень содержит более 40 различных оснований, среди которых есть наиболее популярные у заказч</w:t>
      </w:r>
      <w:r w:rsidR="00C561A5" w:rsidRPr="00377021">
        <w:rPr>
          <w:color w:val="000000"/>
          <w:sz w:val="28"/>
          <w:szCs w:val="28"/>
        </w:rPr>
        <w:t xml:space="preserve">иков. </w:t>
      </w:r>
      <w:r w:rsidRPr="00377021">
        <w:rPr>
          <w:color w:val="000000"/>
          <w:sz w:val="28"/>
          <w:szCs w:val="28"/>
        </w:rPr>
        <w:t>В основном н</w:t>
      </w:r>
      <w:r w:rsidRPr="00377021">
        <w:rPr>
          <w:bCs/>
          <w:sz w:val="28"/>
          <w:szCs w:val="28"/>
        </w:rPr>
        <w:t>еконкурентными способами определения поставщиков</w:t>
      </w:r>
      <w:r w:rsidR="00C561A5" w:rsidRPr="00377021">
        <w:rPr>
          <w:bCs/>
          <w:sz w:val="28"/>
          <w:szCs w:val="28"/>
        </w:rPr>
        <w:t xml:space="preserve"> (закупка у единственного поставщика) </w:t>
      </w:r>
      <w:r w:rsidRPr="00377021">
        <w:rPr>
          <w:bCs/>
          <w:sz w:val="28"/>
          <w:szCs w:val="28"/>
        </w:rPr>
        <w:t xml:space="preserve">заказчиками при осуществлении закупок были проведены </w:t>
      </w:r>
      <w:r w:rsidR="009044EA" w:rsidRPr="00377021">
        <w:rPr>
          <w:bCs/>
          <w:sz w:val="28"/>
          <w:szCs w:val="28"/>
        </w:rPr>
        <w:t xml:space="preserve"> закупки товаров, работ или услуг, которые относятся к сфере деятельности субъектов естественных монополий в соответствии с Федеральным законом от 17.08.1995 № 147-ФЗ «О естественных монополиях».</w:t>
      </w: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</w:p>
    <w:p w:rsidR="00F9723D" w:rsidRDefault="00F9723D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  <w:r w:rsidRPr="00870972">
        <w:rPr>
          <w:b/>
          <w:bCs/>
          <w:i/>
          <w:sz w:val="28"/>
          <w:szCs w:val="28"/>
        </w:rPr>
        <w:t>Государственные закупки в 2014, 2015 и 2016 годах</w:t>
      </w:r>
    </w:p>
    <w:p w:rsidR="00F9723D" w:rsidRPr="00870972" w:rsidRDefault="00F9723D" w:rsidP="002D6EF2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</w:p>
    <w:p w:rsidR="002D6EF2" w:rsidRPr="009B564F" w:rsidRDefault="002D6EF2" w:rsidP="002D6EF2">
      <w:pPr>
        <w:autoSpaceDE w:val="0"/>
        <w:autoSpaceDN w:val="0"/>
        <w:adjustRightInd w:val="0"/>
        <w:outlineLvl w:val="0"/>
        <w:rPr>
          <w:i/>
          <w:u w:val="single"/>
        </w:rPr>
      </w:pPr>
      <w:r w:rsidRPr="00004ECC">
        <w:t>По количеству,</w:t>
      </w:r>
      <w:r>
        <w:t xml:space="preserve"> %</w:t>
      </w: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  <w:r w:rsidRPr="00B57CCA">
        <w:rPr>
          <w:b/>
          <w:i/>
          <w:noProof/>
        </w:rPr>
        <w:drawing>
          <wp:inline distT="0" distB="0" distL="0" distR="0" wp14:anchorId="79F8F373" wp14:editId="5EA073FE">
            <wp:extent cx="6201295" cy="2435630"/>
            <wp:effectExtent l="0" t="0" r="0" b="0"/>
            <wp:docPr id="152" name="Диаграмма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F9723D" w:rsidRDefault="00F9723D" w:rsidP="002D6EF2">
      <w:pPr>
        <w:autoSpaceDE w:val="0"/>
        <w:autoSpaceDN w:val="0"/>
        <w:adjustRightInd w:val="0"/>
        <w:outlineLvl w:val="0"/>
      </w:pPr>
    </w:p>
    <w:p w:rsidR="002D6EF2" w:rsidRDefault="002D6EF2" w:rsidP="002D6EF2">
      <w:pPr>
        <w:autoSpaceDE w:val="0"/>
        <w:autoSpaceDN w:val="0"/>
        <w:adjustRightInd w:val="0"/>
        <w:outlineLvl w:val="0"/>
        <w:rPr>
          <w:b/>
          <w:i/>
          <w:u w:val="single"/>
        </w:rPr>
      </w:pPr>
      <w:r w:rsidRPr="00004ECC">
        <w:lastRenderedPageBreak/>
        <w:t xml:space="preserve">По </w:t>
      </w:r>
      <w:r>
        <w:t>сумме</w:t>
      </w:r>
      <w:r w:rsidRPr="00004ECC">
        <w:t>,</w:t>
      </w:r>
      <w:r>
        <w:t xml:space="preserve"> %</w:t>
      </w: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  <w:r w:rsidRPr="00B57CCA">
        <w:rPr>
          <w:b/>
          <w:i/>
          <w:noProof/>
        </w:rPr>
        <w:drawing>
          <wp:inline distT="0" distB="0" distL="0" distR="0" wp14:anchorId="4C8EC2CC" wp14:editId="1BD3D8B0">
            <wp:extent cx="5843847" cy="2851266"/>
            <wp:effectExtent l="0" t="0" r="0" b="0"/>
            <wp:docPr id="154" name="Диаграмма 1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</w:p>
    <w:p w:rsidR="002D6EF2" w:rsidRDefault="002D6EF2" w:rsidP="00F9723D">
      <w:pPr>
        <w:spacing w:after="200" w:line="276" w:lineRule="auto"/>
        <w:rPr>
          <w:b/>
          <w:i/>
          <w:u w:val="single"/>
        </w:rPr>
      </w:pPr>
      <w:r w:rsidRPr="00004ECC">
        <w:t>По количеству,</w:t>
      </w:r>
      <w:r>
        <w:t xml:space="preserve"> %</w:t>
      </w:r>
    </w:p>
    <w:p w:rsidR="002D6EF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i/>
          <w:u w:val="single"/>
        </w:rPr>
      </w:pPr>
      <w:r w:rsidRPr="00963928">
        <w:rPr>
          <w:b/>
          <w:i/>
          <w:noProof/>
        </w:rPr>
        <w:drawing>
          <wp:inline distT="0" distB="0" distL="0" distR="0" wp14:anchorId="292CA3D7" wp14:editId="30964905">
            <wp:extent cx="5860473" cy="2269375"/>
            <wp:effectExtent l="0" t="0" r="6985" b="0"/>
            <wp:docPr id="156" name="Диаграмма 1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6EF2" w:rsidRDefault="002D6EF2" w:rsidP="002D6EF2">
      <w:pPr>
        <w:autoSpaceDE w:val="0"/>
        <w:autoSpaceDN w:val="0"/>
        <w:adjustRightInd w:val="0"/>
        <w:outlineLvl w:val="0"/>
      </w:pPr>
    </w:p>
    <w:p w:rsidR="002D6EF2" w:rsidRDefault="002D6EF2" w:rsidP="002D6EF2">
      <w:pPr>
        <w:autoSpaceDE w:val="0"/>
        <w:autoSpaceDN w:val="0"/>
        <w:adjustRightInd w:val="0"/>
        <w:outlineLvl w:val="0"/>
      </w:pPr>
      <w:r w:rsidRPr="00004ECC">
        <w:t xml:space="preserve">По </w:t>
      </w:r>
      <w:r>
        <w:t>сумме</w:t>
      </w:r>
      <w:r w:rsidRPr="00004ECC">
        <w:t>,</w:t>
      </w:r>
      <w:r>
        <w:t xml:space="preserve"> %</w:t>
      </w:r>
    </w:p>
    <w:p w:rsidR="002D6EF2" w:rsidRDefault="002D6EF2" w:rsidP="002D6EF2">
      <w:pPr>
        <w:autoSpaceDE w:val="0"/>
        <w:autoSpaceDN w:val="0"/>
        <w:adjustRightInd w:val="0"/>
        <w:ind w:left="426"/>
        <w:outlineLvl w:val="0"/>
        <w:rPr>
          <w:b/>
          <w:i/>
          <w:u w:val="single"/>
        </w:rPr>
      </w:pPr>
      <w:r w:rsidRPr="00963928">
        <w:rPr>
          <w:b/>
          <w:i/>
          <w:noProof/>
        </w:rPr>
        <w:drawing>
          <wp:inline distT="0" distB="0" distL="0" distR="0" wp14:anchorId="107C1D76" wp14:editId="0482E6C7">
            <wp:extent cx="6059978" cy="2236124"/>
            <wp:effectExtent l="0" t="0" r="0" b="0"/>
            <wp:docPr id="157" name="Диаграмма 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6EF2" w:rsidRDefault="002D6EF2" w:rsidP="002D6EF2">
      <w:pPr>
        <w:autoSpaceDE w:val="0"/>
        <w:autoSpaceDN w:val="0"/>
        <w:adjustRightInd w:val="0"/>
        <w:ind w:left="426"/>
        <w:outlineLvl w:val="0"/>
        <w:rPr>
          <w:b/>
          <w:i/>
          <w:u w:val="single"/>
        </w:rPr>
      </w:pPr>
    </w:p>
    <w:p w:rsidR="002D6EF2" w:rsidRDefault="002D6EF2" w:rsidP="002D6EF2">
      <w:pPr>
        <w:autoSpaceDE w:val="0"/>
        <w:autoSpaceDN w:val="0"/>
        <w:adjustRightInd w:val="0"/>
        <w:ind w:left="426"/>
        <w:outlineLvl w:val="0"/>
        <w:rPr>
          <w:b/>
          <w:i/>
          <w:u w:val="single"/>
        </w:rPr>
      </w:pPr>
    </w:p>
    <w:p w:rsidR="00F9723D" w:rsidRDefault="00F9723D" w:rsidP="002D6EF2">
      <w:pPr>
        <w:autoSpaceDE w:val="0"/>
        <w:autoSpaceDN w:val="0"/>
        <w:adjustRightInd w:val="0"/>
        <w:ind w:left="426"/>
        <w:outlineLvl w:val="0"/>
        <w:rPr>
          <w:b/>
          <w:i/>
          <w:u w:val="single"/>
        </w:rPr>
      </w:pPr>
    </w:p>
    <w:p w:rsidR="00F9723D" w:rsidRPr="00004ECC" w:rsidRDefault="00F9723D" w:rsidP="002D6EF2">
      <w:pPr>
        <w:autoSpaceDE w:val="0"/>
        <w:autoSpaceDN w:val="0"/>
        <w:adjustRightInd w:val="0"/>
        <w:ind w:left="426"/>
        <w:outlineLvl w:val="0"/>
        <w:rPr>
          <w:b/>
          <w:i/>
          <w:u w:val="single"/>
        </w:rPr>
      </w:pPr>
    </w:p>
    <w:p w:rsidR="002D6EF2" w:rsidRPr="00AD28A2" w:rsidRDefault="002D6EF2" w:rsidP="002D6EF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AD28A2">
        <w:rPr>
          <w:b/>
          <w:bCs/>
        </w:rPr>
        <w:lastRenderedPageBreak/>
        <w:t>Количество и сумма объявленных государственными заказчиками конкурсов</w:t>
      </w:r>
    </w:p>
    <w:p w:rsidR="002D6EF2" w:rsidRPr="00AD28A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  <w:r w:rsidRPr="00AD28A2">
        <w:rPr>
          <w:b/>
          <w:bCs/>
          <w:i/>
          <w:noProof/>
          <w:sz w:val="28"/>
          <w:szCs w:val="28"/>
        </w:rPr>
        <w:drawing>
          <wp:inline distT="0" distB="0" distL="0" distR="0" wp14:anchorId="2CDC0888" wp14:editId="104011A4">
            <wp:extent cx="2771775" cy="2257425"/>
            <wp:effectExtent l="0" t="0" r="0" b="0"/>
            <wp:docPr id="4097" name="Диаграмма 40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AD28A2">
        <w:rPr>
          <w:b/>
          <w:bCs/>
          <w:i/>
          <w:noProof/>
          <w:sz w:val="28"/>
          <w:szCs w:val="28"/>
        </w:rPr>
        <w:drawing>
          <wp:inline distT="0" distB="0" distL="0" distR="0" wp14:anchorId="04F177F4" wp14:editId="3E938809">
            <wp:extent cx="3038475" cy="2238375"/>
            <wp:effectExtent l="0" t="0" r="9525" b="0"/>
            <wp:docPr id="4098" name="Диаграмма 40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6EF2" w:rsidRPr="00AD28A2" w:rsidRDefault="002D6EF2" w:rsidP="002D6EF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AD28A2">
        <w:rPr>
          <w:b/>
          <w:bCs/>
        </w:rPr>
        <w:t>Количество и сумма объявленных государственными заказчиками аукционов</w:t>
      </w:r>
    </w:p>
    <w:p w:rsidR="002D6EF2" w:rsidRPr="00AD28A2" w:rsidRDefault="002D6EF2" w:rsidP="002D6EF2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8"/>
          <w:szCs w:val="28"/>
        </w:rPr>
      </w:pPr>
      <w:r w:rsidRPr="00AD28A2">
        <w:rPr>
          <w:b/>
          <w:bCs/>
          <w:i/>
          <w:noProof/>
          <w:sz w:val="28"/>
          <w:szCs w:val="28"/>
        </w:rPr>
        <w:drawing>
          <wp:inline distT="0" distB="0" distL="0" distR="0" wp14:anchorId="3CD6842E" wp14:editId="0C99BA6C">
            <wp:extent cx="3095625" cy="2162175"/>
            <wp:effectExtent l="0" t="0" r="9525" b="0"/>
            <wp:docPr id="4102" name="Диаграмма 4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Pr="00AD28A2">
        <w:rPr>
          <w:b/>
          <w:bCs/>
          <w:i/>
          <w:noProof/>
          <w:sz w:val="28"/>
          <w:szCs w:val="28"/>
        </w:rPr>
        <w:drawing>
          <wp:inline distT="0" distB="0" distL="0" distR="0" wp14:anchorId="00916F52" wp14:editId="66684519">
            <wp:extent cx="2867025" cy="2238375"/>
            <wp:effectExtent l="0" t="0" r="9525" b="0"/>
            <wp:docPr id="4103" name="Диаграмма 4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D6EF2" w:rsidRPr="00AD28A2" w:rsidRDefault="002D6EF2" w:rsidP="002D6EF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AD28A2">
        <w:rPr>
          <w:b/>
          <w:bCs/>
        </w:rPr>
        <w:t>Количество и сумма объявленных государственными заказчиками запросов котировок</w:t>
      </w:r>
    </w:p>
    <w:p w:rsidR="002D6EF2" w:rsidRPr="00AD28A2" w:rsidRDefault="002D6EF2" w:rsidP="002D6EF2">
      <w:pPr>
        <w:autoSpaceDE w:val="0"/>
        <w:autoSpaceDN w:val="0"/>
        <w:adjustRightInd w:val="0"/>
        <w:ind w:left="284" w:hanging="142"/>
        <w:jc w:val="both"/>
        <w:outlineLvl w:val="0"/>
        <w:rPr>
          <w:rFonts w:ascii="Calibri" w:eastAsia="Calibri" w:hAnsi="Calibri"/>
          <w:noProof/>
        </w:rPr>
      </w:pPr>
      <w:r w:rsidRPr="00AD28A2">
        <w:rPr>
          <w:noProof/>
        </w:rPr>
        <w:drawing>
          <wp:inline distT="0" distB="0" distL="0" distR="0" wp14:anchorId="492FC5A5" wp14:editId="48BE3005">
            <wp:extent cx="3067050" cy="2181225"/>
            <wp:effectExtent l="0" t="0" r="19050" b="0"/>
            <wp:docPr id="4104" name="Диаграмма 4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AD28A2">
        <w:rPr>
          <w:rFonts w:ascii="Calibri" w:eastAsia="Calibri" w:hAnsi="Calibri"/>
          <w:noProof/>
        </w:rPr>
        <w:drawing>
          <wp:inline distT="0" distB="0" distL="0" distR="0" wp14:anchorId="43450AEE" wp14:editId="4AC12181">
            <wp:extent cx="2771775" cy="2371725"/>
            <wp:effectExtent l="0" t="0" r="9525" b="0"/>
            <wp:docPr id="4105" name="Диаграмма 4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6EF2" w:rsidRPr="003F0325" w:rsidRDefault="002D6EF2" w:rsidP="002D6EF2">
      <w:pPr>
        <w:ind w:firstLine="709"/>
        <w:jc w:val="both"/>
        <w:rPr>
          <w:sz w:val="28"/>
          <w:szCs w:val="28"/>
        </w:rPr>
      </w:pPr>
      <w:r w:rsidRPr="003F0325">
        <w:rPr>
          <w:sz w:val="28"/>
          <w:szCs w:val="28"/>
        </w:rPr>
        <w:t xml:space="preserve">Уменьшение объёма закупок путём проведения запроса котировок </w:t>
      </w:r>
      <w:r w:rsidRPr="003F0325">
        <w:rPr>
          <w:sz w:val="28"/>
          <w:szCs w:val="28"/>
        </w:rPr>
        <w:br/>
        <w:t>в 2015</w:t>
      </w:r>
      <w:r>
        <w:rPr>
          <w:sz w:val="28"/>
          <w:szCs w:val="28"/>
        </w:rPr>
        <w:t>- 2016</w:t>
      </w:r>
      <w:r w:rsidRPr="003F0325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3F0325">
        <w:rPr>
          <w:sz w:val="28"/>
          <w:szCs w:val="28"/>
        </w:rPr>
        <w:t xml:space="preserve"> по сравнению с 2014 годом произошло, в том числе и в связи </w:t>
      </w:r>
      <w:r w:rsidRPr="003F0325">
        <w:rPr>
          <w:sz w:val="28"/>
          <w:szCs w:val="28"/>
        </w:rPr>
        <w:br/>
        <w:t xml:space="preserve">с изменениями, установленными Законом о контрактной системе. </w:t>
      </w:r>
    </w:p>
    <w:p w:rsidR="002D6EF2" w:rsidRPr="003F0325" w:rsidRDefault="002D6EF2" w:rsidP="002D6EF2">
      <w:pPr>
        <w:ind w:firstLine="709"/>
        <w:jc w:val="both"/>
        <w:rPr>
          <w:sz w:val="28"/>
          <w:szCs w:val="28"/>
        </w:rPr>
      </w:pPr>
      <w:r w:rsidRPr="003F0325">
        <w:rPr>
          <w:sz w:val="28"/>
          <w:szCs w:val="28"/>
        </w:rPr>
        <w:t xml:space="preserve">Так, годовой объём закупок, осуществляемых путём запроса котировок, </w:t>
      </w:r>
      <w:r w:rsidRPr="003F0325">
        <w:rPr>
          <w:sz w:val="28"/>
          <w:szCs w:val="28"/>
        </w:rPr>
        <w:br/>
        <w:t xml:space="preserve">в первой половине 2014 года не должен был превышать </w:t>
      </w:r>
      <w:r w:rsidRPr="003F0325">
        <w:rPr>
          <w:b/>
          <w:i/>
          <w:sz w:val="28"/>
          <w:szCs w:val="28"/>
        </w:rPr>
        <w:t>10 процентов</w:t>
      </w:r>
      <w:r w:rsidRPr="003F0325">
        <w:rPr>
          <w:sz w:val="28"/>
          <w:szCs w:val="28"/>
        </w:rPr>
        <w:t xml:space="preserve"> объёма средств, предусмотренных на все закупки заказчика в соответствии с планом-графиком, но не более чем </w:t>
      </w:r>
      <w:r w:rsidRPr="003F0325">
        <w:rPr>
          <w:b/>
          <w:i/>
          <w:sz w:val="28"/>
          <w:szCs w:val="28"/>
        </w:rPr>
        <w:t>100 млн. руб.</w:t>
      </w:r>
      <w:r w:rsidRPr="003F0325">
        <w:rPr>
          <w:sz w:val="28"/>
          <w:szCs w:val="28"/>
        </w:rPr>
        <w:t xml:space="preserve"> в год.</w:t>
      </w:r>
    </w:p>
    <w:p w:rsidR="002D6EF2" w:rsidRDefault="002D6EF2" w:rsidP="002D6EF2">
      <w:pPr>
        <w:ind w:firstLine="709"/>
        <w:jc w:val="both"/>
        <w:rPr>
          <w:sz w:val="28"/>
          <w:szCs w:val="28"/>
        </w:rPr>
      </w:pPr>
      <w:r w:rsidRPr="003F0325">
        <w:rPr>
          <w:sz w:val="28"/>
          <w:szCs w:val="28"/>
        </w:rPr>
        <w:lastRenderedPageBreak/>
        <w:t xml:space="preserve">После внесения изменений в Закон о контрактной системе (в ред. </w:t>
      </w:r>
      <w:r w:rsidRPr="003F0325">
        <w:rPr>
          <w:sz w:val="28"/>
          <w:szCs w:val="28"/>
        </w:rPr>
        <w:br/>
        <w:t xml:space="preserve">от 04.06.2014 № 140-ФЗ) заказчику предоставлен выбор: осуществлять закупки </w:t>
      </w:r>
      <w:r w:rsidRPr="003F0325">
        <w:rPr>
          <w:sz w:val="28"/>
          <w:szCs w:val="28"/>
        </w:rPr>
        <w:br/>
        <w:t xml:space="preserve">у единственного поставщика до </w:t>
      </w:r>
      <w:r w:rsidRPr="003F0325">
        <w:rPr>
          <w:b/>
          <w:i/>
          <w:sz w:val="28"/>
          <w:szCs w:val="28"/>
        </w:rPr>
        <w:t>2 млн. руб.</w:t>
      </w:r>
      <w:r w:rsidRPr="003F0325">
        <w:rPr>
          <w:sz w:val="28"/>
          <w:szCs w:val="28"/>
        </w:rPr>
        <w:t xml:space="preserve"> в год или в размере </w:t>
      </w:r>
      <w:r w:rsidRPr="003F0325">
        <w:rPr>
          <w:b/>
          <w:i/>
          <w:sz w:val="28"/>
          <w:szCs w:val="28"/>
        </w:rPr>
        <w:t>5 процентов</w:t>
      </w:r>
      <w:r w:rsidRPr="003F0325">
        <w:rPr>
          <w:sz w:val="28"/>
          <w:szCs w:val="28"/>
        </w:rPr>
        <w:t xml:space="preserve"> совокупного годового объёма закупок заказчика, но не более чем </w:t>
      </w:r>
      <w:r w:rsidRPr="003F0325">
        <w:rPr>
          <w:b/>
          <w:i/>
          <w:sz w:val="28"/>
          <w:szCs w:val="28"/>
        </w:rPr>
        <w:t>50 млн. рублей</w:t>
      </w:r>
      <w:r w:rsidRPr="003F0325">
        <w:rPr>
          <w:sz w:val="28"/>
          <w:szCs w:val="28"/>
        </w:rPr>
        <w:t>.</w:t>
      </w:r>
    </w:p>
    <w:p w:rsidR="0037536D" w:rsidRDefault="0037536D" w:rsidP="00082255">
      <w:pPr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010A8A8" wp14:editId="2A230CB3">
            <wp:extent cx="6766560" cy="408154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7536D" w:rsidRPr="00A22986" w:rsidRDefault="00D9231B" w:rsidP="00D923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DAAF670" wp14:editId="42BCDE22">
            <wp:extent cx="6733309" cy="429768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23EFB" w:rsidRPr="00AD0AA5" w:rsidRDefault="006C1ABE" w:rsidP="00AF76C2">
      <w:pPr>
        <w:autoSpaceDE w:val="0"/>
        <w:autoSpaceDN w:val="0"/>
        <w:adjustRightInd w:val="0"/>
        <w:jc w:val="both"/>
        <w:outlineLvl w:val="0"/>
        <w:rPr>
          <w:rFonts w:eastAsia="Calibri"/>
          <w:noProof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tab/>
      </w:r>
      <w:r w:rsidRPr="00377021">
        <w:rPr>
          <w:rFonts w:eastAsia="Calibri"/>
          <w:noProof/>
          <w:sz w:val="28"/>
          <w:szCs w:val="28"/>
        </w:rPr>
        <w:t xml:space="preserve">Самая крупная закупка </w:t>
      </w:r>
      <w:r w:rsidR="002036AE" w:rsidRPr="00377021">
        <w:rPr>
          <w:rFonts w:eastAsia="Calibri"/>
          <w:noProof/>
          <w:sz w:val="28"/>
          <w:szCs w:val="28"/>
        </w:rPr>
        <w:t xml:space="preserve">среди заказчиков Свердловской области </w:t>
      </w:r>
      <w:r w:rsidRPr="00377021">
        <w:rPr>
          <w:rFonts w:eastAsia="Calibri"/>
          <w:noProof/>
          <w:sz w:val="28"/>
          <w:szCs w:val="28"/>
        </w:rPr>
        <w:t>осуществдялалась ГКУ Свердловской области «Управление автомобильных дорог» на 4</w:t>
      </w:r>
      <w:r w:rsidR="000905FB" w:rsidRPr="00377021">
        <w:rPr>
          <w:rFonts w:eastAsia="Calibri"/>
          <w:noProof/>
          <w:sz w:val="28"/>
          <w:szCs w:val="28"/>
        </w:rPr>
        <w:t> </w:t>
      </w:r>
      <w:r w:rsidRPr="00377021">
        <w:rPr>
          <w:rFonts w:eastAsia="Calibri"/>
          <w:noProof/>
          <w:sz w:val="28"/>
          <w:szCs w:val="28"/>
        </w:rPr>
        <w:t>757</w:t>
      </w:r>
      <w:r w:rsidR="000905FB" w:rsidRPr="00377021">
        <w:rPr>
          <w:rFonts w:eastAsia="Calibri"/>
          <w:noProof/>
          <w:sz w:val="28"/>
          <w:szCs w:val="28"/>
        </w:rPr>
        <w:t xml:space="preserve"> </w:t>
      </w:r>
      <w:r w:rsidRPr="00377021">
        <w:rPr>
          <w:rFonts w:eastAsia="Calibri"/>
          <w:noProof/>
          <w:sz w:val="28"/>
          <w:szCs w:val="28"/>
        </w:rPr>
        <w:t>038,44 млн.рублей</w:t>
      </w:r>
      <w:r w:rsidRPr="00AD0AA5">
        <w:rPr>
          <w:rFonts w:eastAsia="Calibri"/>
          <w:noProof/>
          <w:sz w:val="28"/>
          <w:szCs w:val="28"/>
        </w:rPr>
        <w:t xml:space="preserve"> </w:t>
      </w:r>
      <w:r w:rsidR="000905FB">
        <w:rPr>
          <w:rFonts w:eastAsia="Calibri"/>
          <w:noProof/>
          <w:sz w:val="28"/>
          <w:szCs w:val="28"/>
        </w:rPr>
        <w:t xml:space="preserve"> </w:t>
      </w:r>
    </w:p>
    <w:p w:rsidR="007828A0" w:rsidRPr="00BF537E" w:rsidRDefault="007828A0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3. Анализ </w:t>
      </w:r>
      <w:proofErr w:type="gramStart"/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>несостоявшихся</w:t>
      </w:r>
      <w:proofErr w:type="gramEnd"/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закупок</w:t>
      </w:r>
    </w:p>
    <w:p w:rsidR="00005801" w:rsidRPr="00E6504E" w:rsidRDefault="00005801" w:rsidP="007828A0">
      <w:pPr>
        <w:ind w:firstLine="709"/>
        <w:jc w:val="center"/>
        <w:rPr>
          <w:b/>
          <w:i/>
          <w:sz w:val="28"/>
          <w:szCs w:val="28"/>
        </w:rPr>
      </w:pPr>
    </w:p>
    <w:p w:rsidR="007B3DDD" w:rsidRDefault="007B3DDD" w:rsidP="004E10AD">
      <w:pPr>
        <w:ind w:firstLine="709"/>
        <w:jc w:val="both"/>
        <w:rPr>
          <w:sz w:val="28"/>
          <w:szCs w:val="28"/>
        </w:rPr>
      </w:pPr>
      <w:r w:rsidRPr="007B3DDD">
        <w:rPr>
          <w:sz w:val="28"/>
          <w:szCs w:val="28"/>
        </w:rPr>
        <w:t xml:space="preserve">По итогам закупочной деятельности </w:t>
      </w:r>
      <w:proofErr w:type="gramStart"/>
      <w:r w:rsidRPr="007B3DDD">
        <w:rPr>
          <w:sz w:val="28"/>
          <w:szCs w:val="28"/>
        </w:rPr>
        <w:t>несостоявшимися</w:t>
      </w:r>
      <w:proofErr w:type="gramEnd"/>
      <w:r w:rsidRPr="007B3DDD">
        <w:rPr>
          <w:sz w:val="28"/>
          <w:szCs w:val="28"/>
        </w:rPr>
        <w:t xml:space="preserve"> признано </w:t>
      </w:r>
      <w:r w:rsidR="0040099C">
        <w:rPr>
          <w:sz w:val="28"/>
          <w:szCs w:val="28"/>
        </w:rPr>
        <w:t>8</w:t>
      </w:r>
      <w:r w:rsidR="00F15570">
        <w:rPr>
          <w:sz w:val="28"/>
          <w:szCs w:val="28"/>
        </w:rPr>
        <w:t xml:space="preserve"> </w:t>
      </w:r>
      <w:r w:rsidR="0040099C">
        <w:rPr>
          <w:sz w:val="28"/>
          <w:szCs w:val="28"/>
        </w:rPr>
        <w:t>155 закупок общим объемом 8 156,</w:t>
      </w:r>
      <w:r w:rsidR="00005801">
        <w:rPr>
          <w:sz w:val="28"/>
          <w:szCs w:val="28"/>
        </w:rPr>
        <w:t>6 мл</w:t>
      </w:r>
      <w:r w:rsidR="00B95B3E">
        <w:rPr>
          <w:sz w:val="28"/>
          <w:szCs w:val="28"/>
        </w:rPr>
        <w:t>н</w:t>
      </w:r>
      <w:r w:rsidR="0040099C">
        <w:rPr>
          <w:sz w:val="28"/>
          <w:szCs w:val="28"/>
        </w:rPr>
        <w:t>. рублей. Доля несостоявшихся процедур от общего количества размещенных в 2016 году извещений составила  21%.</w:t>
      </w:r>
    </w:p>
    <w:p w:rsidR="0040099C" w:rsidRDefault="002D0E97" w:rsidP="002D0E97">
      <w:pPr>
        <w:ind w:firstLine="354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6E2F31EB" wp14:editId="239AFF55">
            <wp:simplePos x="0" y="0"/>
            <wp:positionH relativeFrom="column">
              <wp:posOffset>2248535</wp:posOffset>
            </wp:positionH>
            <wp:positionV relativeFrom="paragraph">
              <wp:posOffset>-635</wp:posOffset>
            </wp:positionV>
            <wp:extent cx="4255770" cy="3252470"/>
            <wp:effectExtent l="0" t="0" r="0" b="5080"/>
            <wp:wrapSquare wrapText="bothSides"/>
            <wp:docPr id="4101" name="Диаграмма 4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DD" w:rsidRDefault="00C67FD1" w:rsidP="004E1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35 % от общего объема </w:t>
      </w:r>
      <w:r w:rsidR="00797B50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 xml:space="preserve">несостоявшихся процедур </w:t>
      </w:r>
      <w:r w:rsidR="001245C8">
        <w:rPr>
          <w:sz w:val="28"/>
          <w:szCs w:val="28"/>
        </w:rPr>
        <w:t xml:space="preserve">приходится на долю процедур определения поставщика, которые признаны несостоявшимися по причине </w:t>
      </w:r>
      <w:r w:rsidR="001245C8" w:rsidRPr="00797B50">
        <w:rPr>
          <w:b/>
          <w:i/>
          <w:sz w:val="28"/>
          <w:szCs w:val="28"/>
        </w:rPr>
        <w:t>«не подано ни одной заявки».</w:t>
      </w:r>
    </w:p>
    <w:p w:rsidR="001245C8" w:rsidRDefault="001245C8" w:rsidP="004E10AD">
      <w:pPr>
        <w:ind w:firstLine="709"/>
        <w:jc w:val="both"/>
        <w:rPr>
          <w:b/>
          <w:i/>
          <w:sz w:val="28"/>
          <w:szCs w:val="28"/>
          <w:highlight w:val="yellow"/>
        </w:rPr>
      </w:pPr>
      <w:r>
        <w:rPr>
          <w:sz w:val="28"/>
          <w:szCs w:val="28"/>
        </w:rPr>
        <w:t>Существенную долю в общем количестве несостоявшихся процедур определения поставщика внесли электронные аукционы, не состоялось более 59% электронных аукционов.</w:t>
      </w:r>
    </w:p>
    <w:p w:rsidR="007B3DDD" w:rsidRPr="001245C8" w:rsidRDefault="001245C8" w:rsidP="004E10AD">
      <w:pPr>
        <w:ind w:firstLine="709"/>
        <w:jc w:val="both"/>
        <w:rPr>
          <w:sz w:val="28"/>
          <w:szCs w:val="28"/>
        </w:rPr>
      </w:pPr>
      <w:r w:rsidRPr="001245C8">
        <w:rPr>
          <w:sz w:val="28"/>
          <w:szCs w:val="28"/>
        </w:rPr>
        <w:t xml:space="preserve">Основной причиной признания несостоявшимися электронных аукционов является </w:t>
      </w:r>
      <w:r w:rsidR="00FA7147" w:rsidRPr="00FA7147">
        <w:rPr>
          <w:b/>
          <w:i/>
          <w:sz w:val="28"/>
          <w:szCs w:val="28"/>
        </w:rPr>
        <w:t>«</w:t>
      </w:r>
      <w:r w:rsidRPr="00FA7147">
        <w:rPr>
          <w:b/>
          <w:i/>
          <w:sz w:val="28"/>
          <w:szCs w:val="28"/>
        </w:rPr>
        <w:t>несоответствие вторых частей заявок участников требованиям аукционной документации</w:t>
      </w:r>
      <w:r w:rsidR="00FA7147" w:rsidRPr="00FA7147">
        <w:rPr>
          <w:b/>
          <w:i/>
          <w:sz w:val="28"/>
          <w:szCs w:val="28"/>
        </w:rPr>
        <w:t>»</w:t>
      </w:r>
      <w:r w:rsidRPr="00FA7147">
        <w:rPr>
          <w:b/>
          <w:i/>
          <w:sz w:val="28"/>
          <w:szCs w:val="28"/>
        </w:rPr>
        <w:t>.</w:t>
      </w:r>
    </w:p>
    <w:p w:rsidR="00D14C96" w:rsidRPr="00377021" w:rsidRDefault="00EC419E" w:rsidP="00D14C9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77021">
        <w:rPr>
          <w:sz w:val="28"/>
          <w:szCs w:val="28"/>
        </w:rPr>
        <w:t xml:space="preserve">Анализ несостоявшихся закупок у наиболее крупных заказчиков Свердловской области </w:t>
      </w:r>
      <w:r w:rsidR="00D14C96" w:rsidRPr="00377021">
        <w:rPr>
          <w:sz w:val="28"/>
          <w:szCs w:val="28"/>
        </w:rPr>
        <w:t>представлен ниже.</w:t>
      </w:r>
      <w:proofErr w:type="gramEnd"/>
    </w:p>
    <w:p w:rsidR="00D14C96" w:rsidRPr="00377021" w:rsidRDefault="00D14C96" w:rsidP="00D14C96">
      <w:pPr>
        <w:spacing w:after="200" w:line="276" w:lineRule="auto"/>
        <w:jc w:val="both"/>
        <w:rPr>
          <w:b/>
          <w:i/>
          <w:sz w:val="28"/>
          <w:szCs w:val="28"/>
        </w:rPr>
      </w:pPr>
      <w:r w:rsidRPr="00377021">
        <w:rPr>
          <w:b/>
          <w:i/>
          <w:sz w:val="28"/>
          <w:szCs w:val="28"/>
        </w:rPr>
        <w:t>Министерство здравоохранения Свердловской области.</w:t>
      </w:r>
    </w:p>
    <w:p w:rsidR="00D14C96" w:rsidRDefault="00D14C96" w:rsidP="00D14C96">
      <w:pPr>
        <w:ind w:firstLine="708"/>
        <w:jc w:val="both"/>
        <w:rPr>
          <w:sz w:val="28"/>
          <w:szCs w:val="28"/>
        </w:rPr>
      </w:pPr>
      <w:r w:rsidRPr="00377021">
        <w:rPr>
          <w:sz w:val="28"/>
          <w:szCs w:val="28"/>
        </w:rPr>
        <w:t xml:space="preserve">Всего размещено </w:t>
      </w:r>
      <w:r w:rsidRPr="00377021">
        <w:rPr>
          <w:b/>
          <w:i/>
          <w:sz w:val="28"/>
          <w:szCs w:val="28"/>
        </w:rPr>
        <w:t>1146</w:t>
      </w:r>
      <w:r w:rsidRPr="00377021">
        <w:rPr>
          <w:sz w:val="28"/>
          <w:szCs w:val="28"/>
        </w:rPr>
        <w:t xml:space="preserve"> заявок на общую сумму </w:t>
      </w:r>
      <w:r w:rsidRPr="00377021">
        <w:rPr>
          <w:b/>
          <w:i/>
          <w:sz w:val="28"/>
          <w:szCs w:val="28"/>
        </w:rPr>
        <w:t>288 922,4</w:t>
      </w:r>
      <w:r w:rsidRPr="00377021">
        <w:rPr>
          <w:sz w:val="28"/>
          <w:szCs w:val="28"/>
        </w:rPr>
        <w:t xml:space="preserve"> </w:t>
      </w:r>
      <w:proofErr w:type="spellStart"/>
      <w:r w:rsidRPr="00377021">
        <w:rPr>
          <w:sz w:val="28"/>
          <w:szCs w:val="28"/>
        </w:rPr>
        <w:t>млн</w:t>
      </w:r>
      <w:proofErr w:type="gramStart"/>
      <w:r w:rsidRPr="00377021">
        <w:rPr>
          <w:sz w:val="28"/>
          <w:szCs w:val="28"/>
        </w:rPr>
        <w:t>.р</w:t>
      </w:r>
      <w:proofErr w:type="gramEnd"/>
      <w:r w:rsidRPr="00377021">
        <w:rPr>
          <w:sz w:val="28"/>
          <w:szCs w:val="28"/>
        </w:rPr>
        <w:t>ублей</w:t>
      </w:r>
      <w:proofErr w:type="spellEnd"/>
      <w:r w:rsidRPr="00377021">
        <w:rPr>
          <w:sz w:val="28"/>
          <w:szCs w:val="28"/>
        </w:rPr>
        <w:t xml:space="preserve">, из них не состоялось </w:t>
      </w:r>
      <w:r w:rsidRPr="00377021">
        <w:rPr>
          <w:b/>
          <w:i/>
          <w:sz w:val="28"/>
          <w:szCs w:val="28"/>
        </w:rPr>
        <w:t xml:space="preserve">366 </w:t>
      </w:r>
      <w:r w:rsidRPr="00377021">
        <w:rPr>
          <w:sz w:val="28"/>
          <w:szCs w:val="28"/>
        </w:rPr>
        <w:t xml:space="preserve">закупок на сумму </w:t>
      </w:r>
      <w:r w:rsidRPr="00377021">
        <w:rPr>
          <w:b/>
          <w:i/>
          <w:sz w:val="28"/>
          <w:szCs w:val="28"/>
        </w:rPr>
        <w:t>58 418,1</w:t>
      </w:r>
      <w:r w:rsidRPr="0037702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</w:p>
    <w:p w:rsidR="00D14C96" w:rsidRDefault="00D14C96" w:rsidP="00D14C96">
      <w:pPr>
        <w:spacing w:after="20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22381B45" wp14:editId="5D7AE155">
            <wp:simplePos x="0" y="0"/>
            <wp:positionH relativeFrom="column">
              <wp:posOffset>127635</wp:posOffset>
            </wp:positionH>
            <wp:positionV relativeFrom="paragraph">
              <wp:posOffset>20320</wp:posOffset>
            </wp:positionV>
            <wp:extent cx="5643880" cy="2169160"/>
            <wp:effectExtent l="0" t="0" r="13970" b="21590"/>
            <wp:wrapTight wrapText="bothSides">
              <wp:wrapPolygon edited="0">
                <wp:start x="0" y="0"/>
                <wp:lineTo x="0" y="21625"/>
                <wp:lineTo x="21581" y="21625"/>
                <wp:lineTo x="21581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C96" w:rsidRPr="00EC419E" w:rsidRDefault="00D14C96" w:rsidP="00D14C96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C96" w:rsidRDefault="00D14C96" w:rsidP="00D14C96">
      <w:pPr>
        <w:ind w:firstLine="709"/>
        <w:jc w:val="center"/>
        <w:rPr>
          <w:b/>
          <w:i/>
          <w:sz w:val="28"/>
          <w:szCs w:val="28"/>
        </w:rPr>
      </w:pPr>
    </w:p>
    <w:p w:rsidR="00D14C96" w:rsidRDefault="00D14C96" w:rsidP="002D0E97">
      <w:pPr>
        <w:ind w:firstLine="709"/>
        <w:jc w:val="center"/>
        <w:rPr>
          <w:b/>
          <w:i/>
          <w:sz w:val="28"/>
          <w:szCs w:val="28"/>
        </w:rPr>
      </w:pPr>
    </w:p>
    <w:p w:rsidR="00D14C96" w:rsidRDefault="00D14C96" w:rsidP="002D0E97">
      <w:pPr>
        <w:ind w:firstLine="709"/>
        <w:jc w:val="center"/>
        <w:rPr>
          <w:b/>
          <w:i/>
          <w:sz w:val="28"/>
          <w:szCs w:val="28"/>
        </w:rPr>
      </w:pPr>
    </w:p>
    <w:p w:rsidR="00D14C96" w:rsidRDefault="00D14C96" w:rsidP="002D0E97">
      <w:pPr>
        <w:ind w:firstLine="709"/>
        <w:jc w:val="center"/>
        <w:rPr>
          <w:b/>
          <w:i/>
          <w:sz w:val="28"/>
          <w:szCs w:val="28"/>
        </w:rPr>
      </w:pPr>
    </w:p>
    <w:p w:rsidR="00D14C96" w:rsidRDefault="00D14C96" w:rsidP="002D0E97">
      <w:pPr>
        <w:ind w:firstLine="709"/>
        <w:jc w:val="center"/>
        <w:rPr>
          <w:b/>
          <w:i/>
          <w:sz w:val="28"/>
          <w:szCs w:val="28"/>
        </w:rPr>
      </w:pPr>
    </w:p>
    <w:p w:rsidR="00D14C96" w:rsidRPr="00377021" w:rsidRDefault="00D14C96" w:rsidP="00D14C96">
      <w:pPr>
        <w:spacing w:after="200" w:line="276" w:lineRule="auto"/>
        <w:jc w:val="both"/>
        <w:rPr>
          <w:b/>
          <w:i/>
          <w:sz w:val="28"/>
          <w:szCs w:val="28"/>
        </w:rPr>
      </w:pPr>
      <w:r w:rsidRPr="00377021">
        <w:rPr>
          <w:b/>
          <w:i/>
          <w:sz w:val="28"/>
          <w:szCs w:val="28"/>
        </w:rPr>
        <w:lastRenderedPageBreak/>
        <w:t xml:space="preserve">Министерство </w:t>
      </w:r>
      <w:r w:rsidR="00F03F2E" w:rsidRPr="00377021">
        <w:rPr>
          <w:b/>
          <w:i/>
          <w:sz w:val="28"/>
          <w:szCs w:val="28"/>
        </w:rPr>
        <w:t>образования</w:t>
      </w:r>
      <w:r w:rsidRPr="00377021">
        <w:rPr>
          <w:b/>
          <w:i/>
          <w:sz w:val="28"/>
          <w:szCs w:val="28"/>
        </w:rPr>
        <w:t xml:space="preserve"> Свердловской области.</w:t>
      </w:r>
    </w:p>
    <w:p w:rsidR="00D14C96" w:rsidRDefault="00D14C96" w:rsidP="00D14C96">
      <w:pPr>
        <w:ind w:firstLine="708"/>
        <w:jc w:val="both"/>
        <w:rPr>
          <w:sz w:val="28"/>
          <w:szCs w:val="28"/>
        </w:rPr>
      </w:pPr>
      <w:r w:rsidRPr="00377021">
        <w:rPr>
          <w:sz w:val="28"/>
          <w:szCs w:val="28"/>
        </w:rPr>
        <w:t xml:space="preserve">Всего размещено </w:t>
      </w:r>
      <w:r w:rsidR="00F03F2E" w:rsidRPr="00377021">
        <w:rPr>
          <w:b/>
          <w:i/>
          <w:sz w:val="28"/>
          <w:szCs w:val="28"/>
        </w:rPr>
        <w:t>859</w:t>
      </w:r>
      <w:r w:rsidRPr="00377021">
        <w:rPr>
          <w:sz w:val="28"/>
          <w:szCs w:val="28"/>
        </w:rPr>
        <w:t xml:space="preserve"> заявок на общую сумму </w:t>
      </w:r>
      <w:r w:rsidR="00F03F2E" w:rsidRPr="00377021">
        <w:rPr>
          <w:b/>
          <w:i/>
          <w:sz w:val="28"/>
          <w:szCs w:val="28"/>
        </w:rPr>
        <w:t>272 838,8</w:t>
      </w:r>
      <w:r w:rsidRPr="00377021">
        <w:rPr>
          <w:sz w:val="28"/>
          <w:szCs w:val="28"/>
        </w:rPr>
        <w:t xml:space="preserve"> млн.</w:t>
      </w:r>
      <w:r w:rsidR="00777B2E" w:rsidRPr="00377021">
        <w:rPr>
          <w:sz w:val="28"/>
          <w:szCs w:val="28"/>
        </w:rPr>
        <w:t xml:space="preserve"> </w:t>
      </w:r>
      <w:r w:rsidRPr="00377021">
        <w:rPr>
          <w:sz w:val="28"/>
          <w:szCs w:val="28"/>
        </w:rPr>
        <w:t xml:space="preserve">рублей, из них не состоялось </w:t>
      </w:r>
      <w:r w:rsidR="00157ED2" w:rsidRPr="00377021">
        <w:rPr>
          <w:b/>
          <w:i/>
          <w:sz w:val="28"/>
          <w:szCs w:val="28"/>
        </w:rPr>
        <w:t xml:space="preserve">72 </w:t>
      </w:r>
      <w:r w:rsidRPr="00377021">
        <w:rPr>
          <w:sz w:val="28"/>
          <w:szCs w:val="28"/>
        </w:rPr>
        <w:t xml:space="preserve"> закупк</w:t>
      </w:r>
      <w:r w:rsidR="00157ED2" w:rsidRPr="00377021">
        <w:rPr>
          <w:sz w:val="28"/>
          <w:szCs w:val="28"/>
        </w:rPr>
        <w:t>и</w:t>
      </w:r>
      <w:r w:rsidRPr="00377021">
        <w:rPr>
          <w:sz w:val="28"/>
          <w:szCs w:val="28"/>
        </w:rPr>
        <w:t xml:space="preserve"> на сумму </w:t>
      </w:r>
      <w:r w:rsidR="009F6313" w:rsidRPr="00377021">
        <w:rPr>
          <w:b/>
          <w:i/>
          <w:sz w:val="28"/>
          <w:szCs w:val="28"/>
        </w:rPr>
        <w:t>23 743</w:t>
      </w:r>
      <w:r w:rsidRPr="0037702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</w:p>
    <w:p w:rsidR="00D14C96" w:rsidRDefault="00F03F2E" w:rsidP="00D14C96">
      <w:pPr>
        <w:spacing w:after="20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30266E" wp14:editId="4E8C52CA">
            <wp:extent cx="6292734" cy="3325091"/>
            <wp:effectExtent l="0" t="0" r="13335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57ED2" w:rsidRPr="00377021" w:rsidRDefault="00D14C96" w:rsidP="00157ED2">
      <w:p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57ED2" w:rsidRPr="00377021">
        <w:rPr>
          <w:b/>
          <w:i/>
          <w:sz w:val="28"/>
          <w:szCs w:val="28"/>
        </w:rPr>
        <w:t>Министерство социальной политики Свердловской области.</w:t>
      </w:r>
    </w:p>
    <w:p w:rsidR="00157ED2" w:rsidRDefault="00157ED2" w:rsidP="00157ED2">
      <w:pPr>
        <w:ind w:firstLine="708"/>
        <w:jc w:val="both"/>
        <w:rPr>
          <w:sz w:val="28"/>
          <w:szCs w:val="28"/>
        </w:rPr>
      </w:pPr>
      <w:r w:rsidRPr="00377021">
        <w:rPr>
          <w:sz w:val="28"/>
          <w:szCs w:val="28"/>
        </w:rPr>
        <w:t xml:space="preserve">Всего размещено </w:t>
      </w:r>
      <w:r w:rsidRPr="00377021">
        <w:rPr>
          <w:b/>
          <w:i/>
          <w:sz w:val="28"/>
          <w:szCs w:val="28"/>
        </w:rPr>
        <w:t xml:space="preserve">1258 </w:t>
      </w:r>
      <w:r w:rsidRPr="00377021">
        <w:rPr>
          <w:sz w:val="28"/>
          <w:szCs w:val="28"/>
        </w:rPr>
        <w:t xml:space="preserve"> заявок на общую сумму </w:t>
      </w:r>
      <w:r w:rsidRPr="00377021">
        <w:rPr>
          <w:b/>
          <w:i/>
          <w:sz w:val="28"/>
          <w:szCs w:val="28"/>
        </w:rPr>
        <w:t>307 992</w:t>
      </w:r>
      <w:r w:rsidRPr="00377021">
        <w:rPr>
          <w:sz w:val="28"/>
          <w:szCs w:val="28"/>
        </w:rPr>
        <w:t xml:space="preserve"> млн. рублей, из них не состоялось </w:t>
      </w:r>
      <w:r w:rsidR="00AA3036" w:rsidRPr="00377021">
        <w:rPr>
          <w:b/>
          <w:i/>
          <w:sz w:val="28"/>
          <w:szCs w:val="28"/>
        </w:rPr>
        <w:t>184</w:t>
      </w:r>
      <w:r w:rsidR="00AA3036" w:rsidRPr="00377021">
        <w:rPr>
          <w:sz w:val="28"/>
          <w:szCs w:val="28"/>
        </w:rPr>
        <w:t xml:space="preserve"> </w:t>
      </w:r>
      <w:r w:rsidRPr="00377021">
        <w:rPr>
          <w:sz w:val="28"/>
          <w:szCs w:val="28"/>
        </w:rPr>
        <w:t xml:space="preserve"> закупк</w:t>
      </w:r>
      <w:r w:rsidR="00AA3036" w:rsidRPr="00377021">
        <w:rPr>
          <w:sz w:val="28"/>
          <w:szCs w:val="28"/>
        </w:rPr>
        <w:t>и</w:t>
      </w:r>
      <w:r w:rsidRPr="00377021">
        <w:rPr>
          <w:sz w:val="28"/>
          <w:szCs w:val="28"/>
        </w:rPr>
        <w:t xml:space="preserve"> на сумму </w:t>
      </w:r>
      <w:r w:rsidRPr="00377021">
        <w:rPr>
          <w:b/>
          <w:i/>
          <w:sz w:val="28"/>
          <w:szCs w:val="28"/>
        </w:rPr>
        <w:t>23 743</w:t>
      </w:r>
      <w:r w:rsidRPr="0037702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</w:p>
    <w:p w:rsidR="00D14C96" w:rsidRPr="00EC419E" w:rsidRDefault="001A3674" w:rsidP="00D14C96">
      <w:pPr>
        <w:spacing w:after="200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BE8E282" wp14:editId="3500C050">
            <wp:extent cx="6292734" cy="3624349"/>
            <wp:effectExtent l="0" t="0" r="1333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A3674" w:rsidRDefault="001A3674" w:rsidP="002D0E97">
      <w:pPr>
        <w:ind w:firstLine="709"/>
        <w:jc w:val="center"/>
        <w:rPr>
          <w:b/>
          <w:i/>
          <w:sz w:val="28"/>
          <w:szCs w:val="28"/>
        </w:rPr>
      </w:pPr>
    </w:p>
    <w:p w:rsidR="001A3674" w:rsidRDefault="001A3674" w:rsidP="002D0E97">
      <w:pPr>
        <w:ind w:firstLine="709"/>
        <w:jc w:val="center"/>
        <w:rPr>
          <w:b/>
          <w:i/>
          <w:sz w:val="28"/>
          <w:szCs w:val="28"/>
        </w:rPr>
      </w:pPr>
    </w:p>
    <w:p w:rsidR="001A3674" w:rsidRDefault="001A3674" w:rsidP="002D0E97">
      <w:pPr>
        <w:ind w:firstLine="709"/>
        <w:jc w:val="center"/>
        <w:rPr>
          <w:b/>
          <w:i/>
          <w:sz w:val="28"/>
          <w:szCs w:val="28"/>
        </w:rPr>
      </w:pPr>
    </w:p>
    <w:p w:rsidR="007B3DDD" w:rsidRDefault="002D0E97" w:rsidP="002D0E97">
      <w:pPr>
        <w:ind w:firstLine="709"/>
        <w:jc w:val="center"/>
        <w:rPr>
          <w:b/>
          <w:i/>
          <w:sz w:val="28"/>
          <w:szCs w:val="28"/>
        </w:rPr>
      </w:pPr>
      <w:r w:rsidRPr="00445A50">
        <w:rPr>
          <w:b/>
          <w:i/>
          <w:sz w:val="28"/>
          <w:szCs w:val="28"/>
        </w:rPr>
        <w:t>Общий объем несостоявшихся процедур определения поставщика по причинам признания процедуры несостоявшейся</w:t>
      </w:r>
      <w:r w:rsidR="001A7C32">
        <w:rPr>
          <w:b/>
          <w:i/>
          <w:sz w:val="28"/>
          <w:szCs w:val="28"/>
        </w:rPr>
        <w:t>, в млн</w:t>
      </w:r>
      <w:proofErr w:type="gramStart"/>
      <w:r w:rsidR="00BE46C2">
        <w:rPr>
          <w:b/>
          <w:i/>
          <w:sz w:val="28"/>
          <w:szCs w:val="28"/>
        </w:rPr>
        <w:t xml:space="preserve"> </w:t>
      </w:r>
      <w:r w:rsidR="001A7C32">
        <w:rPr>
          <w:b/>
          <w:i/>
          <w:sz w:val="28"/>
          <w:szCs w:val="28"/>
        </w:rPr>
        <w:t>.</w:t>
      </w:r>
      <w:proofErr w:type="gramEnd"/>
      <w:r w:rsidR="001A7C32">
        <w:rPr>
          <w:b/>
          <w:i/>
          <w:sz w:val="28"/>
          <w:szCs w:val="28"/>
        </w:rPr>
        <w:t>рублей</w:t>
      </w:r>
    </w:p>
    <w:p w:rsidR="00D72B05" w:rsidRPr="00445A50" w:rsidRDefault="00D72B05" w:rsidP="00D72B05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C421635" wp14:editId="5E5A96D1">
            <wp:extent cx="6350923" cy="3585557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900AF" w:rsidRDefault="00B900AF" w:rsidP="00E77B29">
      <w:pPr>
        <w:ind w:firstLine="709"/>
        <w:jc w:val="center"/>
        <w:rPr>
          <w:b/>
          <w:i/>
          <w:sz w:val="28"/>
          <w:szCs w:val="28"/>
        </w:rPr>
      </w:pPr>
    </w:p>
    <w:p w:rsidR="00E77B29" w:rsidRPr="00E77B29" w:rsidRDefault="00E77B29" w:rsidP="00E77B29">
      <w:pPr>
        <w:ind w:firstLine="709"/>
        <w:jc w:val="center"/>
        <w:rPr>
          <w:b/>
          <w:i/>
          <w:sz w:val="28"/>
          <w:szCs w:val="28"/>
        </w:rPr>
      </w:pPr>
      <w:r w:rsidRPr="00E77B29">
        <w:rPr>
          <w:b/>
          <w:i/>
          <w:sz w:val="28"/>
          <w:szCs w:val="28"/>
        </w:rPr>
        <w:t>Доли причин признания процедуры несостоявшейся по общему объему извещений в разрезе способов закупки за 2016 год</w:t>
      </w:r>
    </w:p>
    <w:p w:rsidR="00E77B29" w:rsidRPr="00E77B29" w:rsidRDefault="00367178" w:rsidP="00E77B29">
      <w:pPr>
        <w:jc w:val="both"/>
        <w:rPr>
          <w:b/>
          <w:i/>
          <w:sz w:val="28"/>
          <w:szCs w:val="28"/>
          <w:highlight w:val="yellow"/>
          <w:lang w:val="en-US"/>
        </w:rPr>
      </w:pPr>
      <w:r>
        <w:rPr>
          <w:noProof/>
        </w:rPr>
        <w:drawing>
          <wp:inline distT="0" distB="0" distL="0" distR="0" wp14:anchorId="5458A62B" wp14:editId="67EB9C15">
            <wp:extent cx="6367549" cy="418130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77B29" w:rsidRDefault="00E77B29" w:rsidP="004E10AD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B900AF" w:rsidRDefault="00B900AF" w:rsidP="004E10AD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45A50" w:rsidRPr="00BF537E" w:rsidRDefault="005F40B6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>Раздел 4. Анализ заключенных контрактов</w:t>
      </w:r>
    </w:p>
    <w:p w:rsidR="00D63BA4" w:rsidRDefault="00D63BA4" w:rsidP="00D63B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заключенных  контрактов в 2016 году всего </w:t>
      </w:r>
      <w:r w:rsidRPr="00A72189">
        <w:rPr>
          <w:rFonts w:eastAsiaTheme="minorHAnsi"/>
          <w:b/>
          <w:i/>
          <w:sz w:val="28"/>
          <w:szCs w:val="28"/>
          <w:lang w:eastAsia="en-US"/>
        </w:rPr>
        <w:t>34 79</w:t>
      </w:r>
      <w:r w:rsidR="00DE16A7" w:rsidRPr="00A72189">
        <w:rPr>
          <w:rFonts w:eastAsiaTheme="minorHAnsi"/>
          <w:b/>
          <w:i/>
          <w:sz w:val="28"/>
          <w:szCs w:val="28"/>
          <w:lang w:eastAsia="en-US"/>
        </w:rPr>
        <w:t>1</w:t>
      </w:r>
      <w:r w:rsidR="00DE16A7">
        <w:rPr>
          <w:rFonts w:eastAsiaTheme="minorHAnsi"/>
          <w:sz w:val="28"/>
          <w:szCs w:val="28"/>
          <w:lang w:eastAsia="en-US"/>
        </w:rPr>
        <w:t xml:space="preserve"> на общую сумму </w:t>
      </w:r>
      <w:r w:rsidR="00DE16A7" w:rsidRPr="00A72189">
        <w:rPr>
          <w:rFonts w:eastAsiaTheme="minorHAnsi"/>
          <w:b/>
          <w:i/>
          <w:sz w:val="28"/>
          <w:szCs w:val="28"/>
          <w:lang w:eastAsia="en-US"/>
        </w:rPr>
        <w:t>35 235,4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мл</w:t>
      </w:r>
      <w:r w:rsidR="00B525A0">
        <w:rPr>
          <w:rFonts w:eastAsiaTheme="minorHAnsi"/>
          <w:sz w:val="28"/>
          <w:szCs w:val="28"/>
          <w:lang w:eastAsia="en-US"/>
        </w:rPr>
        <w:t>н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ублей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72189" w:rsidRDefault="00A72189" w:rsidP="00A72189">
      <w:pPr>
        <w:ind w:firstLine="709"/>
        <w:jc w:val="both"/>
        <w:rPr>
          <w:b/>
          <w:bCs/>
          <w:i/>
          <w:sz w:val="28"/>
          <w:szCs w:val="28"/>
        </w:rPr>
      </w:pPr>
    </w:p>
    <w:p w:rsidR="00A72189" w:rsidRDefault="00A72189" w:rsidP="00A72189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 xml:space="preserve">Анализ </w:t>
      </w:r>
      <w:r w:rsidRPr="00A72189">
        <w:rPr>
          <w:rFonts w:eastAsiaTheme="minorHAnsi"/>
          <w:b/>
          <w:i/>
          <w:sz w:val="28"/>
          <w:szCs w:val="28"/>
          <w:lang w:eastAsia="en-US"/>
        </w:rPr>
        <w:t xml:space="preserve">заключенных  контрактов </w:t>
      </w:r>
      <w:r w:rsidRPr="00956D16">
        <w:rPr>
          <w:b/>
          <w:bCs/>
          <w:i/>
          <w:sz w:val="28"/>
          <w:szCs w:val="28"/>
        </w:rPr>
        <w:t xml:space="preserve">по количеству </w:t>
      </w:r>
      <w:r>
        <w:rPr>
          <w:b/>
          <w:bCs/>
          <w:i/>
          <w:sz w:val="28"/>
          <w:szCs w:val="28"/>
        </w:rPr>
        <w:t xml:space="preserve">контрактов </w:t>
      </w:r>
      <w:r w:rsidRPr="00956D16">
        <w:rPr>
          <w:b/>
          <w:bCs/>
          <w:i/>
          <w:sz w:val="28"/>
          <w:szCs w:val="28"/>
        </w:rPr>
        <w:t xml:space="preserve"> – </w:t>
      </w:r>
      <w:r>
        <w:rPr>
          <w:b/>
          <w:bCs/>
          <w:i/>
          <w:sz w:val="28"/>
          <w:szCs w:val="28"/>
        </w:rPr>
        <w:t>34 791 контракт</w:t>
      </w:r>
      <w:r w:rsidRPr="00956D16">
        <w:rPr>
          <w:sz w:val="28"/>
          <w:szCs w:val="28"/>
        </w:rPr>
        <w:t xml:space="preserve">, из них </w:t>
      </w:r>
      <w:r>
        <w:rPr>
          <w:b/>
          <w:i/>
          <w:sz w:val="28"/>
          <w:szCs w:val="28"/>
        </w:rPr>
        <w:t xml:space="preserve">25 790 или  74,12% от общего количества  контрактов </w:t>
      </w:r>
      <w:r w:rsidRPr="00956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заключено после </w:t>
      </w:r>
      <w:r w:rsidRPr="00956D16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электронного аукциона</w:t>
      </w:r>
      <w:r w:rsidRPr="00956D16">
        <w:rPr>
          <w:sz w:val="28"/>
          <w:szCs w:val="28"/>
        </w:rPr>
        <w:t xml:space="preserve">, </w:t>
      </w:r>
      <w:r w:rsidRPr="00A72189">
        <w:rPr>
          <w:b/>
          <w:i/>
          <w:sz w:val="28"/>
          <w:szCs w:val="28"/>
        </w:rPr>
        <w:t>4 784</w:t>
      </w:r>
      <w:r>
        <w:rPr>
          <w:sz w:val="28"/>
          <w:szCs w:val="28"/>
        </w:rPr>
        <w:t xml:space="preserve"> </w:t>
      </w:r>
      <w:r w:rsidRPr="00956D16">
        <w:rPr>
          <w:b/>
          <w:i/>
          <w:sz w:val="28"/>
          <w:szCs w:val="28"/>
        </w:rPr>
        <w:t xml:space="preserve"> </w:t>
      </w:r>
      <w:r w:rsidRPr="00956D16">
        <w:rPr>
          <w:sz w:val="28"/>
          <w:szCs w:val="28"/>
        </w:rPr>
        <w:t xml:space="preserve">или </w:t>
      </w:r>
      <w:r w:rsidRPr="00A72189">
        <w:rPr>
          <w:b/>
          <w:i/>
          <w:sz w:val="28"/>
          <w:szCs w:val="28"/>
        </w:rPr>
        <w:t>13,</w:t>
      </w:r>
      <w:r>
        <w:rPr>
          <w:b/>
          <w:i/>
          <w:sz w:val="28"/>
          <w:szCs w:val="28"/>
        </w:rPr>
        <w:t>75%</w:t>
      </w:r>
      <w:r w:rsidRPr="00956D1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после </w:t>
      </w:r>
      <w:r w:rsidRPr="00956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Pr="00956D16">
        <w:rPr>
          <w:sz w:val="28"/>
          <w:szCs w:val="28"/>
        </w:rPr>
        <w:t xml:space="preserve"> запроса котировок,</w:t>
      </w:r>
      <w:r>
        <w:rPr>
          <w:sz w:val="28"/>
          <w:szCs w:val="28"/>
        </w:rPr>
        <w:t xml:space="preserve"> </w:t>
      </w:r>
      <w:r w:rsidRPr="00A72189">
        <w:rPr>
          <w:b/>
          <w:i/>
          <w:sz w:val="28"/>
          <w:szCs w:val="28"/>
        </w:rPr>
        <w:t>173</w:t>
      </w:r>
      <w:r w:rsidRPr="00956D16">
        <w:rPr>
          <w:b/>
          <w:i/>
          <w:sz w:val="28"/>
          <w:szCs w:val="28"/>
        </w:rPr>
        <w:t xml:space="preserve"> </w:t>
      </w:r>
      <w:r w:rsidRPr="00956D16">
        <w:rPr>
          <w:sz w:val="28"/>
          <w:szCs w:val="28"/>
        </w:rPr>
        <w:t xml:space="preserve">или </w:t>
      </w:r>
      <w:r>
        <w:rPr>
          <w:b/>
          <w:i/>
          <w:sz w:val="28"/>
          <w:szCs w:val="28"/>
        </w:rPr>
        <w:t>0,5%</w:t>
      </w:r>
      <w:r w:rsidRPr="00956D16">
        <w:rPr>
          <w:b/>
          <w:i/>
          <w:sz w:val="28"/>
          <w:szCs w:val="28"/>
        </w:rPr>
        <w:t xml:space="preserve"> процента</w:t>
      </w:r>
      <w:r w:rsidRPr="00956D1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после </w:t>
      </w:r>
      <w:r w:rsidRPr="00956D16">
        <w:rPr>
          <w:sz w:val="28"/>
          <w:szCs w:val="28"/>
        </w:rPr>
        <w:t xml:space="preserve"> проведения конкурс</w:t>
      </w:r>
      <w:r>
        <w:rPr>
          <w:sz w:val="28"/>
          <w:szCs w:val="28"/>
        </w:rPr>
        <w:t>ов</w:t>
      </w:r>
      <w:r w:rsidRPr="00956D16">
        <w:rPr>
          <w:sz w:val="28"/>
          <w:szCs w:val="28"/>
        </w:rPr>
        <w:t xml:space="preserve">, </w:t>
      </w:r>
      <w:r w:rsidRPr="00A72189">
        <w:rPr>
          <w:b/>
          <w:i/>
          <w:sz w:val="28"/>
          <w:szCs w:val="28"/>
        </w:rPr>
        <w:t>26</w:t>
      </w:r>
      <w:r w:rsidRPr="00956D16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0,08</w:t>
      </w:r>
      <w:r w:rsidRPr="00956D16">
        <w:rPr>
          <w:b/>
          <w:i/>
          <w:sz w:val="28"/>
          <w:szCs w:val="28"/>
        </w:rPr>
        <w:t xml:space="preserve"> процента</w:t>
      </w:r>
      <w:r w:rsidRPr="00956D1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после </w:t>
      </w:r>
      <w:r w:rsidRPr="00956D1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Pr="00956D16">
        <w:rPr>
          <w:sz w:val="28"/>
          <w:szCs w:val="28"/>
        </w:rPr>
        <w:t xml:space="preserve"> запроса предложений</w:t>
      </w:r>
      <w:r>
        <w:rPr>
          <w:sz w:val="28"/>
          <w:szCs w:val="28"/>
        </w:rPr>
        <w:t xml:space="preserve">, и </w:t>
      </w:r>
      <w:r w:rsidRPr="00A72189">
        <w:rPr>
          <w:b/>
          <w:i/>
          <w:sz w:val="28"/>
          <w:szCs w:val="28"/>
        </w:rPr>
        <w:t xml:space="preserve">4018 </w:t>
      </w:r>
      <w:r>
        <w:rPr>
          <w:b/>
          <w:i/>
          <w:sz w:val="28"/>
          <w:szCs w:val="28"/>
        </w:rPr>
        <w:t xml:space="preserve">или 11,55% - </w:t>
      </w:r>
      <w:r>
        <w:rPr>
          <w:sz w:val="28"/>
          <w:szCs w:val="28"/>
        </w:rPr>
        <w:t xml:space="preserve">после осуществления </w:t>
      </w:r>
      <w:r w:rsidRPr="00956D16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закупки у единственного поставщика.</w:t>
      </w:r>
      <w:proofErr w:type="gramEnd"/>
    </w:p>
    <w:p w:rsidR="00A72189" w:rsidRDefault="00A72189" w:rsidP="00A72189">
      <w:pPr>
        <w:ind w:firstLine="709"/>
        <w:jc w:val="both"/>
        <w:rPr>
          <w:sz w:val="28"/>
          <w:szCs w:val="28"/>
        </w:rPr>
      </w:pPr>
      <w:r w:rsidRPr="002D6EF2">
        <w:rPr>
          <w:b/>
          <w:i/>
          <w:noProof/>
          <w:sz w:val="28"/>
          <w:szCs w:val="28"/>
        </w:rPr>
        <w:t xml:space="preserve"> </w:t>
      </w:r>
    </w:p>
    <w:p w:rsidR="00A72189" w:rsidRPr="00D10189" w:rsidRDefault="00A72189" w:rsidP="00A72189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Анализ</w:t>
      </w:r>
      <w:r w:rsidRPr="00A72189">
        <w:rPr>
          <w:rFonts w:eastAsiaTheme="minorHAnsi"/>
          <w:sz w:val="28"/>
          <w:szCs w:val="28"/>
          <w:lang w:eastAsia="en-US"/>
        </w:rPr>
        <w:t xml:space="preserve"> </w:t>
      </w:r>
      <w:r w:rsidRPr="00A72189">
        <w:rPr>
          <w:rFonts w:eastAsiaTheme="minorHAnsi"/>
          <w:b/>
          <w:i/>
          <w:sz w:val="28"/>
          <w:szCs w:val="28"/>
          <w:lang w:eastAsia="en-US"/>
        </w:rPr>
        <w:t>заключенных  контрактов</w:t>
      </w:r>
      <w:r>
        <w:rPr>
          <w:b/>
          <w:i/>
          <w:sz w:val="28"/>
          <w:szCs w:val="28"/>
        </w:rPr>
        <w:t xml:space="preserve"> </w:t>
      </w:r>
      <w:r w:rsidRPr="00D10189">
        <w:rPr>
          <w:b/>
          <w:i/>
          <w:sz w:val="28"/>
          <w:szCs w:val="28"/>
        </w:rPr>
        <w:t xml:space="preserve">по сумме закупок </w:t>
      </w:r>
      <w:r w:rsidRPr="00D10189">
        <w:rPr>
          <w:sz w:val="28"/>
          <w:szCs w:val="28"/>
        </w:rPr>
        <w:t xml:space="preserve">– </w:t>
      </w:r>
      <w:r w:rsidR="00EE5E1D">
        <w:rPr>
          <w:b/>
          <w:i/>
          <w:sz w:val="28"/>
          <w:szCs w:val="28"/>
        </w:rPr>
        <w:t>35 253,4</w:t>
      </w:r>
      <w:r w:rsidRPr="00D10189">
        <w:rPr>
          <w:b/>
          <w:i/>
          <w:sz w:val="28"/>
          <w:szCs w:val="28"/>
        </w:rPr>
        <w:t xml:space="preserve"> млн. руб.</w:t>
      </w:r>
      <w:r w:rsidRPr="00D10189">
        <w:rPr>
          <w:sz w:val="28"/>
          <w:szCs w:val="28"/>
        </w:rPr>
        <w:t xml:space="preserve">, </w:t>
      </w:r>
      <w:r w:rsidR="00EE5E1D" w:rsidRPr="00956D16">
        <w:rPr>
          <w:sz w:val="28"/>
          <w:szCs w:val="28"/>
        </w:rPr>
        <w:t xml:space="preserve">из них </w:t>
      </w:r>
      <w:r w:rsidR="00EE5E1D">
        <w:rPr>
          <w:b/>
          <w:i/>
          <w:sz w:val="28"/>
          <w:szCs w:val="28"/>
        </w:rPr>
        <w:t xml:space="preserve">н сумму 30 333,1 млн. рублей   или  86,1 % от общей суммы заключенных контрактов </w:t>
      </w:r>
      <w:r w:rsidR="00EE5E1D" w:rsidRPr="00956D16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 xml:space="preserve">заключено после </w:t>
      </w:r>
      <w:r w:rsidR="00EE5E1D" w:rsidRPr="00956D16">
        <w:rPr>
          <w:sz w:val="28"/>
          <w:szCs w:val="28"/>
        </w:rPr>
        <w:t xml:space="preserve"> проведения</w:t>
      </w:r>
      <w:r w:rsidR="00EE5E1D">
        <w:rPr>
          <w:sz w:val="28"/>
          <w:szCs w:val="28"/>
        </w:rPr>
        <w:t xml:space="preserve"> электронного аукциона</w:t>
      </w:r>
      <w:r w:rsidR="00EE5E1D" w:rsidRPr="00956D16">
        <w:rPr>
          <w:sz w:val="28"/>
          <w:szCs w:val="28"/>
        </w:rPr>
        <w:t xml:space="preserve">, </w:t>
      </w:r>
      <w:r w:rsidR="00EE5E1D">
        <w:rPr>
          <w:b/>
          <w:i/>
          <w:sz w:val="28"/>
          <w:szCs w:val="28"/>
        </w:rPr>
        <w:t xml:space="preserve">на сумму 466,9 млн. рублей </w:t>
      </w:r>
      <w:r w:rsidR="00EE5E1D">
        <w:rPr>
          <w:sz w:val="28"/>
          <w:szCs w:val="28"/>
        </w:rPr>
        <w:t xml:space="preserve"> </w:t>
      </w:r>
      <w:r w:rsidR="00EE5E1D" w:rsidRPr="00956D16">
        <w:rPr>
          <w:b/>
          <w:i/>
          <w:sz w:val="28"/>
          <w:szCs w:val="28"/>
        </w:rPr>
        <w:t xml:space="preserve"> </w:t>
      </w:r>
      <w:r w:rsidR="00EE5E1D" w:rsidRPr="00956D16">
        <w:rPr>
          <w:sz w:val="28"/>
          <w:szCs w:val="28"/>
        </w:rPr>
        <w:t xml:space="preserve">или </w:t>
      </w:r>
      <w:r w:rsidR="00EE5E1D">
        <w:rPr>
          <w:b/>
          <w:i/>
          <w:sz w:val="28"/>
          <w:szCs w:val="28"/>
        </w:rPr>
        <w:t>1,3%</w:t>
      </w:r>
      <w:r w:rsidR="00EE5E1D" w:rsidRPr="00956D16">
        <w:rPr>
          <w:sz w:val="28"/>
          <w:szCs w:val="28"/>
        </w:rPr>
        <w:t xml:space="preserve"> – </w:t>
      </w:r>
      <w:r w:rsidR="00EE5E1D">
        <w:rPr>
          <w:sz w:val="28"/>
          <w:szCs w:val="28"/>
        </w:rPr>
        <w:t xml:space="preserve">после </w:t>
      </w:r>
      <w:r w:rsidR="00EE5E1D" w:rsidRPr="00956D16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 xml:space="preserve">осуществления </w:t>
      </w:r>
      <w:r w:rsidR="00EE5E1D" w:rsidRPr="00956D16">
        <w:rPr>
          <w:sz w:val="28"/>
          <w:szCs w:val="28"/>
        </w:rPr>
        <w:t xml:space="preserve"> запроса котировок,</w:t>
      </w:r>
      <w:r w:rsidR="00EE5E1D">
        <w:rPr>
          <w:sz w:val="28"/>
          <w:szCs w:val="28"/>
        </w:rPr>
        <w:t xml:space="preserve">                </w:t>
      </w:r>
      <w:r w:rsidR="00EE5E1D">
        <w:rPr>
          <w:b/>
          <w:i/>
          <w:sz w:val="28"/>
          <w:szCs w:val="28"/>
        </w:rPr>
        <w:t xml:space="preserve">1 661,9 млн. рублей </w:t>
      </w:r>
      <w:r w:rsidR="00EE5E1D" w:rsidRPr="00956D16">
        <w:rPr>
          <w:b/>
          <w:i/>
          <w:sz w:val="28"/>
          <w:szCs w:val="28"/>
        </w:rPr>
        <w:t xml:space="preserve"> </w:t>
      </w:r>
      <w:r w:rsidR="00EE5E1D" w:rsidRPr="00956D16">
        <w:rPr>
          <w:sz w:val="28"/>
          <w:szCs w:val="28"/>
        </w:rPr>
        <w:t xml:space="preserve">или </w:t>
      </w:r>
      <w:r w:rsidR="00EE5E1D">
        <w:rPr>
          <w:b/>
          <w:i/>
          <w:sz w:val="28"/>
          <w:szCs w:val="28"/>
        </w:rPr>
        <w:t>4,8%</w:t>
      </w:r>
      <w:r w:rsidR="00EE5E1D" w:rsidRPr="00956D16">
        <w:rPr>
          <w:b/>
          <w:i/>
          <w:sz w:val="28"/>
          <w:szCs w:val="28"/>
        </w:rPr>
        <w:t xml:space="preserve"> процента</w:t>
      </w:r>
      <w:r w:rsidR="00EE5E1D" w:rsidRPr="00956D16">
        <w:rPr>
          <w:sz w:val="28"/>
          <w:szCs w:val="28"/>
        </w:rPr>
        <w:t xml:space="preserve"> – </w:t>
      </w:r>
      <w:r w:rsidR="00EE5E1D">
        <w:rPr>
          <w:sz w:val="28"/>
          <w:szCs w:val="28"/>
        </w:rPr>
        <w:t xml:space="preserve">после </w:t>
      </w:r>
      <w:r w:rsidR="00EE5E1D" w:rsidRPr="00956D16">
        <w:rPr>
          <w:sz w:val="28"/>
          <w:szCs w:val="28"/>
        </w:rPr>
        <w:t xml:space="preserve"> проведения конкурс</w:t>
      </w:r>
      <w:r w:rsidR="00EE5E1D">
        <w:rPr>
          <w:sz w:val="28"/>
          <w:szCs w:val="28"/>
        </w:rPr>
        <w:t>ов</w:t>
      </w:r>
      <w:r w:rsidR="00EE5E1D" w:rsidRPr="00956D16">
        <w:rPr>
          <w:sz w:val="28"/>
          <w:szCs w:val="28"/>
        </w:rPr>
        <w:t xml:space="preserve">, </w:t>
      </w:r>
      <w:r w:rsidR="00EE5E1D">
        <w:rPr>
          <w:sz w:val="28"/>
          <w:szCs w:val="28"/>
        </w:rPr>
        <w:t xml:space="preserve">                   </w:t>
      </w:r>
      <w:r w:rsidR="00EE5E1D">
        <w:rPr>
          <w:b/>
          <w:i/>
          <w:sz w:val="28"/>
          <w:szCs w:val="28"/>
        </w:rPr>
        <w:t xml:space="preserve"> 255,6 млн. рублей </w:t>
      </w:r>
      <w:r w:rsidR="00EE5E1D" w:rsidRPr="00956D16">
        <w:rPr>
          <w:sz w:val="28"/>
          <w:szCs w:val="28"/>
        </w:rPr>
        <w:t xml:space="preserve">или </w:t>
      </w:r>
      <w:r w:rsidR="00EE5E1D">
        <w:rPr>
          <w:b/>
          <w:i/>
          <w:sz w:val="28"/>
          <w:szCs w:val="28"/>
        </w:rPr>
        <w:t>0,7</w:t>
      </w:r>
      <w:r w:rsidR="00EE5E1D" w:rsidRPr="00956D16">
        <w:rPr>
          <w:b/>
          <w:i/>
          <w:sz w:val="28"/>
          <w:szCs w:val="28"/>
        </w:rPr>
        <w:t xml:space="preserve"> процента</w:t>
      </w:r>
      <w:r w:rsidR="00EE5E1D" w:rsidRPr="00956D16">
        <w:rPr>
          <w:sz w:val="28"/>
          <w:szCs w:val="28"/>
        </w:rPr>
        <w:t xml:space="preserve"> – </w:t>
      </w:r>
      <w:r w:rsidR="00EE5E1D">
        <w:rPr>
          <w:sz w:val="28"/>
          <w:szCs w:val="28"/>
        </w:rPr>
        <w:t xml:space="preserve">после </w:t>
      </w:r>
      <w:r w:rsidR="00EE5E1D" w:rsidRPr="00956D16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>осуществления</w:t>
      </w:r>
      <w:r w:rsidR="00EE5E1D" w:rsidRPr="00956D16">
        <w:rPr>
          <w:sz w:val="28"/>
          <w:szCs w:val="28"/>
        </w:rPr>
        <w:t xml:space="preserve"> запроса</w:t>
      </w:r>
      <w:proofErr w:type="gramEnd"/>
      <w:r w:rsidR="00EE5E1D" w:rsidRPr="00956D16">
        <w:rPr>
          <w:sz w:val="28"/>
          <w:szCs w:val="28"/>
        </w:rPr>
        <w:t xml:space="preserve"> предложений</w:t>
      </w:r>
      <w:r w:rsidR="00EE5E1D">
        <w:rPr>
          <w:sz w:val="28"/>
          <w:szCs w:val="28"/>
        </w:rPr>
        <w:t xml:space="preserve">, и </w:t>
      </w:r>
      <w:r w:rsidR="00EE5E1D">
        <w:rPr>
          <w:b/>
          <w:i/>
          <w:sz w:val="28"/>
          <w:szCs w:val="28"/>
        </w:rPr>
        <w:t xml:space="preserve">2 517,8 млн. рублей </w:t>
      </w:r>
      <w:r w:rsidR="00EE5E1D" w:rsidRPr="00A72189">
        <w:rPr>
          <w:b/>
          <w:i/>
          <w:sz w:val="28"/>
          <w:szCs w:val="28"/>
        </w:rPr>
        <w:t xml:space="preserve"> </w:t>
      </w:r>
      <w:r w:rsidR="00EE5E1D">
        <w:rPr>
          <w:b/>
          <w:i/>
          <w:sz w:val="28"/>
          <w:szCs w:val="28"/>
        </w:rPr>
        <w:t xml:space="preserve">или 7,1% - </w:t>
      </w:r>
      <w:r w:rsidR="00EE5E1D">
        <w:rPr>
          <w:sz w:val="28"/>
          <w:szCs w:val="28"/>
        </w:rPr>
        <w:t>закупки у единственного поставщика.</w:t>
      </w:r>
    </w:p>
    <w:p w:rsidR="00A72189" w:rsidRDefault="00A72189" w:rsidP="00D63B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63BA4" w:rsidRPr="00D63BA4" w:rsidRDefault="00D63BA4" w:rsidP="00D63BA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63BA4">
        <w:rPr>
          <w:rFonts w:eastAsiaTheme="minorHAnsi"/>
          <w:b/>
          <w:i/>
          <w:sz w:val="28"/>
          <w:szCs w:val="28"/>
          <w:lang w:eastAsia="en-US"/>
        </w:rPr>
        <w:t>Общая статистика заключенных контрактов</w:t>
      </w:r>
    </w:p>
    <w:p w:rsidR="00D63BA4" w:rsidRDefault="00D63BA4" w:rsidP="00D63B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4CFB103" wp14:editId="3EC6A2B2">
            <wp:extent cx="5846618" cy="2682240"/>
            <wp:effectExtent l="0" t="0" r="1905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72189" w:rsidRDefault="00A72189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Средняя цена контракта в 2016 году составила </w:t>
      </w:r>
      <w:r w:rsidRPr="00593433">
        <w:rPr>
          <w:rFonts w:eastAsiaTheme="minorHAnsi"/>
          <w:b/>
          <w:i/>
          <w:sz w:val="28"/>
          <w:szCs w:val="28"/>
          <w:lang w:eastAsia="en-US"/>
        </w:rPr>
        <w:t>1,02</w:t>
      </w:r>
      <w:r>
        <w:rPr>
          <w:rFonts w:eastAsiaTheme="minorHAnsi"/>
          <w:sz w:val="28"/>
          <w:szCs w:val="28"/>
          <w:lang w:eastAsia="en-US"/>
        </w:rPr>
        <w:t xml:space="preserve"> млн. рублей.</w:t>
      </w:r>
    </w:p>
    <w:p w:rsidR="00AE327A" w:rsidRDefault="00AE327A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E327A" w:rsidRPr="00377021" w:rsidRDefault="0057387C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7021">
        <w:rPr>
          <w:rFonts w:eastAsiaTheme="minorHAnsi"/>
          <w:sz w:val="28"/>
          <w:szCs w:val="28"/>
          <w:lang w:eastAsia="en-US"/>
        </w:rPr>
        <w:t xml:space="preserve">Всего в 2016 году было расторгнуто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3 262</w:t>
      </w:r>
      <w:r w:rsidRPr="00377021">
        <w:rPr>
          <w:rFonts w:eastAsiaTheme="minorHAnsi"/>
          <w:sz w:val="28"/>
          <w:szCs w:val="28"/>
          <w:lang w:eastAsia="en-US"/>
        </w:rPr>
        <w:t xml:space="preserve"> </w:t>
      </w:r>
      <w:r w:rsidR="00F457DA" w:rsidRPr="00377021">
        <w:rPr>
          <w:rFonts w:eastAsiaTheme="minorHAnsi"/>
          <w:sz w:val="28"/>
          <w:szCs w:val="28"/>
          <w:lang w:eastAsia="en-US"/>
        </w:rPr>
        <w:t>контракта</w:t>
      </w:r>
      <w:r w:rsidRPr="00377021">
        <w:rPr>
          <w:rFonts w:eastAsiaTheme="minorHAnsi"/>
          <w:sz w:val="28"/>
          <w:szCs w:val="28"/>
          <w:lang w:eastAsia="en-US"/>
        </w:rPr>
        <w:t xml:space="preserve"> на общую сумму </w:t>
      </w:r>
      <w:r w:rsidR="00072D35" w:rsidRPr="00377021">
        <w:rPr>
          <w:rFonts w:eastAsiaTheme="minorHAnsi"/>
          <w:sz w:val="28"/>
          <w:szCs w:val="28"/>
          <w:lang w:eastAsia="en-US"/>
        </w:rPr>
        <w:t xml:space="preserve">           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1 962, 75</w:t>
      </w:r>
      <w:r w:rsidRPr="00377021">
        <w:rPr>
          <w:rFonts w:eastAsiaTheme="minorHAnsi"/>
          <w:sz w:val="28"/>
          <w:szCs w:val="28"/>
          <w:lang w:eastAsia="en-US"/>
        </w:rPr>
        <w:t xml:space="preserve"> млн.</w:t>
      </w:r>
      <w:r w:rsidR="00072D35" w:rsidRPr="00377021">
        <w:rPr>
          <w:rFonts w:eastAsiaTheme="minorHAnsi"/>
          <w:sz w:val="28"/>
          <w:szCs w:val="28"/>
          <w:lang w:eastAsia="en-US"/>
        </w:rPr>
        <w:t xml:space="preserve"> </w:t>
      </w:r>
      <w:r w:rsidRPr="00377021">
        <w:rPr>
          <w:rFonts w:eastAsiaTheme="minorHAnsi"/>
          <w:sz w:val="28"/>
          <w:szCs w:val="28"/>
          <w:lang w:eastAsia="en-US"/>
        </w:rPr>
        <w:t>рублей.</w:t>
      </w:r>
      <w:r w:rsidR="00AE327A" w:rsidRPr="00377021">
        <w:rPr>
          <w:rFonts w:eastAsiaTheme="minorHAnsi"/>
          <w:sz w:val="28"/>
          <w:szCs w:val="28"/>
          <w:lang w:eastAsia="en-US"/>
        </w:rPr>
        <w:t xml:space="preserve"> </w:t>
      </w:r>
      <w:r w:rsidR="00F457DA" w:rsidRPr="00377021">
        <w:rPr>
          <w:rFonts w:eastAsiaTheme="minorHAnsi"/>
          <w:sz w:val="28"/>
          <w:szCs w:val="28"/>
          <w:lang w:eastAsia="en-US"/>
        </w:rPr>
        <w:t xml:space="preserve"> Большая часть контрактов была расторгнута по причине </w:t>
      </w:r>
      <w:r w:rsidR="00F457DA" w:rsidRPr="00377021">
        <w:rPr>
          <w:rFonts w:eastAsiaTheme="minorHAnsi"/>
          <w:b/>
          <w:i/>
          <w:sz w:val="28"/>
          <w:szCs w:val="28"/>
          <w:lang w:eastAsia="en-US"/>
        </w:rPr>
        <w:t>«соглашение сторон».</w:t>
      </w:r>
    </w:p>
    <w:p w:rsidR="000A413B" w:rsidRDefault="00546467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7021">
        <w:rPr>
          <w:rFonts w:eastAsiaTheme="minorHAnsi"/>
          <w:sz w:val="28"/>
          <w:szCs w:val="28"/>
          <w:lang w:eastAsia="en-US"/>
        </w:rPr>
        <w:t xml:space="preserve">Всего в 2016 по данным ЕИС было расторгнуто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3 262</w:t>
      </w:r>
      <w:r w:rsidRPr="00377021">
        <w:rPr>
          <w:rFonts w:eastAsiaTheme="minorHAnsi"/>
          <w:sz w:val="28"/>
          <w:szCs w:val="28"/>
          <w:lang w:eastAsia="en-US"/>
        </w:rPr>
        <w:t xml:space="preserve"> контракта на общую сумму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1 962, 75</w:t>
      </w:r>
      <w:r w:rsidRPr="00377021">
        <w:rPr>
          <w:rFonts w:eastAsiaTheme="minorHAnsi"/>
          <w:sz w:val="28"/>
          <w:szCs w:val="28"/>
          <w:lang w:eastAsia="en-US"/>
        </w:rPr>
        <w:t xml:space="preserve"> млн. рублей. </w:t>
      </w:r>
      <w:r w:rsidR="00A672F9" w:rsidRPr="00377021">
        <w:rPr>
          <w:rFonts w:eastAsiaTheme="minorHAnsi"/>
          <w:sz w:val="28"/>
          <w:szCs w:val="28"/>
          <w:lang w:eastAsia="en-US"/>
        </w:rPr>
        <w:t xml:space="preserve">Их них </w:t>
      </w:r>
      <w:r w:rsidR="00A672F9" w:rsidRPr="00377021">
        <w:rPr>
          <w:rFonts w:eastAsiaTheme="minorHAnsi"/>
          <w:b/>
          <w:i/>
          <w:sz w:val="28"/>
          <w:szCs w:val="28"/>
          <w:lang w:eastAsia="en-US"/>
        </w:rPr>
        <w:t>2 271</w:t>
      </w:r>
      <w:r w:rsidR="00A672F9" w:rsidRPr="00377021">
        <w:rPr>
          <w:rFonts w:eastAsiaTheme="minorHAnsi"/>
          <w:sz w:val="28"/>
          <w:szCs w:val="28"/>
          <w:lang w:eastAsia="en-US"/>
        </w:rPr>
        <w:t xml:space="preserve"> контракт, что составляет </w:t>
      </w:r>
      <w:r w:rsidR="00A672F9" w:rsidRPr="00377021">
        <w:rPr>
          <w:rFonts w:eastAsiaTheme="minorHAnsi"/>
          <w:b/>
          <w:i/>
          <w:sz w:val="28"/>
          <w:szCs w:val="28"/>
          <w:lang w:eastAsia="en-US"/>
        </w:rPr>
        <w:t>69,6%</w:t>
      </w:r>
      <w:r w:rsidR="00A672F9" w:rsidRPr="00377021">
        <w:rPr>
          <w:rFonts w:eastAsiaTheme="minorHAnsi"/>
          <w:sz w:val="28"/>
          <w:szCs w:val="28"/>
          <w:lang w:eastAsia="en-US"/>
        </w:rPr>
        <w:t xml:space="preserve"> от общего количества расторгнутых контрактов</w:t>
      </w:r>
      <w:r w:rsidRPr="00377021">
        <w:rPr>
          <w:rFonts w:eastAsiaTheme="minorHAnsi"/>
          <w:sz w:val="28"/>
          <w:szCs w:val="28"/>
          <w:lang w:eastAsia="en-US"/>
        </w:rPr>
        <w:t xml:space="preserve">, </w:t>
      </w:r>
      <w:r w:rsidR="00A672F9" w:rsidRPr="00377021">
        <w:rPr>
          <w:rFonts w:eastAsiaTheme="minorHAnsi"/>
          <w:sz w:val="28"/>
          <w:szCs w:val="28"/>
          <w:lang w:eastAsia="en-US"/>
        </w:rPr>
        <w:t xml:space="preserve">которые были </w:t>
      </w:r>
      <w:r w:rsidRPr="00377021">
        <w:rPr>
          <w:rFonts w:eastAsiaTheme="minorHAnsi"/>
          <w:sz w:val="28"/>
          <w:szCs w:val="28"/>
          <w:lang w:eastAsia="en-US"/>
        </w:rPr>
        <w:t>з</w:t>
      </w:r>
      <w:r w:rsidR="00A672F9" w:rsidRPr="00377021">
        <w:rPr>
          <w:rFonts w:eastAsiaTheme="minorHAnsi"/>
          <w:sz w:val="28"/>
          <w:szCs w:val="28"/>
          <w:lang w:eastAsia="en-US"/>
        </w:rPr>
        <w:t>аключены</w:t>
      </w:r>
      <w:r w:rsidRPr="00377021">
        <w:rPr>
          <w:rFonts w:eastAsiaTheme="minorHAnsi"/>
          <w:sz w:val="28"/>
          <w:szCs w:val="28"/>
          <w:lang w:eastAsia="en-US"/>
        </w:rPr>
        <w:t xml:space="preserve"> после проведения электронного аукциона, было расторгнуто по </w:t>
      </w:r>
      <w:r w:rsidR="00597576" w:rsidRPr="00377021">
        <w:rPr>
          <w:rFonts w:eastAsiaTheme="minorHAnsi"/>
          <w:sz w:val="28"/>
          <w:szCs w:val="28"/>
          <w:lang w:eastAsia="en-US"/>
        </w:rPr>
        <w:t xml:space="preserve">основной </w:t>
      </w:r>
      <w:r w:rsidRPr="00377021">
        <w:rPr>
          <w:rFonts w:eastAsiaTheme="minorHAnsi"/>
          <w:sz w:val="28"/>
          <w:szCs w:val="28"/>
          <w:lang w:eastAsia="en-US"/>
        </w:rPr>
        <w:t xml:space="preserve">причине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«соглашение сторон».</w:t>
      </w:r>
    </w:p>
    <w:p w:rsidR="000A413B" w:rsidRDefault="000A413B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A413B" w:rsidRDefault="000A413B" w:rsidP="00A721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992"/>
        <w:gridCol w:w="709"/>
        <w:gridCol w:w="850"/>
        <w:gridCol w:w="567"/>
        <w:gridCol w:w="851"/>
        <w:gridCol w:w="709"/>
        <w:gridCol w:w="1276"/>
        <w:gridCol w:w="850"/>
        <w:gridCol w:w="1418"/>
      </w:tblGrid>
      <w:tr w:rsidR="000A413B" w:rsidRPr="000A413B" w:rsidTr="0041502C">
        <w:trPr>
          <w:trHeight w:val="1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ind w:hanging="93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Способ определения поставщика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Односторонний отказ заказчика от исполнения контракта в соответствии с гражданским законодательством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Односторонний отказ поставщика (подрядчика, исполнителя) от исполнения контракта в соответствии с гражданским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Решение суда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Соглашение сторон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Общее количество расторгнутых контрактов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AA24D6" w:rsidRDefault="000A413B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Общая </w:t>
            </w:r>
            <w:r w:rsidR="0044634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сумма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расторгнутых контрактов</w:t>
            </w:r>
            <w:r w:rsidR="00AA24D6"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0A413B" w:rsidRPr="000A413B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тыс. рублей</w:t>
            </w:r>
          </w:p>
        </w:tc>
      </w:tr>
      <w:tr w:rsidR="000A413B" w:rsidRPr="000A413B" w:rsidTr="0041502C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Количество контрактов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Цена контракта</w:t>
            </w:r>
          </w:p>
          <w:p w:rsidR="00AA24D6" w:rsidRPr="000A413B" w:rsidRDefault="00AA24D6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Количество контрактов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AA24D6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Цена контракта</w:t>
            </w:r>
          </w:p>
          <w:p w:rsidR="000A413B" w:rsidRPr="000A413B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Количество контрактов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AA24D6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Цена контракта</w:t>
            </w:r>
          </w:p>
          <w:p w:rsidR="000A413B" w:rsidRPr="000A413B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0A413B" w:rsidRPr="000A413B" w:rsidRDefault="000A413B" w:rsidP="000A413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Количество контрактов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FF3"/>
            <w:vAlign w:val="center"/>
            <w:hideMark/>
          </w:tcPr>
          <w:p w:rsidR="00AA24D6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Цена контракта</w:t>
            </w:r>
          </w:p>
          <w:p w:rsidR="000A413B" w:rsidRPr="000A413B" w:rsidRDefault="00AA24D6" w:rsidP="00AA24D6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A413B" w:rsidRPr="000A413B" w:rsidTr="0041502C">
        <w:trPr>
          <w:trHeight w:val="56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Закупка у единственного поставщика (исполнителя, подрядчика)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282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785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AA24D6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 xml:space="preserve">426 509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584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427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604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7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0A413B" w:rsidRPr="000A413B" w:rsidTr="0041502C">
        <w:trPr>
          <w:trHeight w:val="2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Запрос котировок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951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011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390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047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0A413B" w:rsidRPr="000A413B" w:rsidTr="0041502C">
        <w:trPr>
          <w:trHeight w:val="2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Запрос предложений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185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185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,25</w:t>
            </w:r>
          </w:p>
        </w:tc>
      </w:tr>
      <w:tr w:rsidR="000A413B" w:rsidRPr="000A413B" w:rsidTr="0041502C">
        <w:trPr>
          <w:trHeight w:val="3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Конкурс с ограниченным участием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AA24D6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15 71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A413B" w:rsidRPr="000A413B" w:rsidTr="0041502C">
        <w:trPr>
          <w:trHeight w:val="2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916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4 916 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,28</w:t>
            </w:r>
          </w:p>
        </w:tc>
      </w:tr>
      <w:tr w:rsidR="000A413B" w:rsidRPr="000A413B" w:rsidTr="0041502C">
        <w:trPr>
          <w:trHeight w:val="2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Электронный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872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959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color w:val="000000"/>
                <w:sz w:val="14"/>
                <w:szCs w:val="14"/>
              </w:rPr>
              <w:t>1 357452</w:t>
            </w:r>
            <w:r w:rsidR="00AA24D6">
              <w:rPr>
                <w:rFonts w:ascii="Tahoma" w:hAnsi="Tahoma" w:cs="Tahoma"/>
                <w:color w:val="000000"/>
                <w:sz w:val="14"/>
                <w:szCs w:val="14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2 271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1 448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283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,9</w:t>
            </w:r>
          </w:p>
        </w:tc>
      </w:tr>
      <w:tr w:rsidR="000A413B" w:rsidRPr="000A413B" w:rsidTr="0041502C">
        <w:trPr>
          <w:trHeight w:val="2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FF3"/>
            <w:hideMark/>
          </w:tcPr>
          <w:p w:rsidR="000A413B" w:rsidRPr="000A413B" w:rsidRDefault="000A413B" w:rsidP="000A413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Общий 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92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106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840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AA24D6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AA24D6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AA24D6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1 868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790</w:t>
            </w:r>
            <w:r w:rsidR="00AA24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2EA"/>
            <w:hideMark/>
          </w:tcPr>
          <w:p w:rsidR="000A413B" w:rsidRPr="000A413B" w:rsidRDefault="000A413B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0A413B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3 262</w:t>
            </w:r>
          </w:p>
        </w:tc>
        <w:tc>
          <w:tcPr>
            <w:tcW w:w="1418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3F2EA"/>
            <w:hideMark/>
          </w:tcPr>
          <w:p w:rsidR="000A413B" w:rsidRPr="000A413B" w:rsidRDefault="00AA24D6" w:rsidP="000A413B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1962753,28</w:t>
            </w:r>
          </w:p>
        </w:tc>
      </w:tr>
    </w:tbl>
    <w:p w:rsidR="002258AB" w:rsidRDefault="002258AB" w:rsidP="00D63B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CD6C9F" w:rsidRDefault="002258AB" w:rsidP="002258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656795D" wp14:editId="6A6EEB42">
            <wp:extent cx="6342610" cy="5087389"/>
            <wp:effectExtent l="0" t="0" r="2032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E10AD" w:rsidRDefault="004E10AD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Раздел </w:t>
      </w:r>
      <w:r w:rsidR="00092D16" w:rsidRPr="00BF537E"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991482" w:rsidRPr="00BF537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Осуществление закупок </w:t>
      </w:r>
      <w:r w:rsidR="007E6675" w:rsidRPr="00BF537E">
        <w:rPr>
          <w:rFonts w:ascii="Times New Roman" w:hAnsi="Times New Roman" w:cs="Times New Roman"/>
          <w:i/>
          <w:color w:val="auto"/>
          <w:sz w:val="28"/>
          <w:szCs w:val="28"/>
        </w:rPr>
        <w:t>у субъектов малого предпринимательства и социально ориентированных некоммерческих организаций.</w:t>
      </w:r>
    </w:p>
    <w:p w:rsidR="007066FA" w:rsidRPr="007066FA" w:rsidRDefault="007066FA" w:rsidP="007066FA">
      <w:pPr>
        <w:rPr>
          <w:lang w:eastAsia="en-US"/>
        </w:rPr>
      </w:pPr>
    </w:p>
    <w:p w:rsidR="007E6675" w:rsidRPr="004E10AD" w:rsidRDefault="00696128" w:rsidP="004E10AD">
      <w:pPr>
        <w:ind w:firstLine="709"/>
        <w:jc w:val="both"/>
        <w:rPr>
          <w:sz w:val="28"/>
          <w:szCs w:val="28"/>
        </w:rPr>
      </w:pPr>
      <w:r w:rsidRPr="006A748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304" behindDoc="0" locked="0" layoutInCell="1" allowOverlap="1" wp14:anchorId="655C6200" wp14:editId="242883F3">
            <wp:simplePos x="0" y="0"/>
            <wp:positionH relativeFrom="column">
              <wp:posOffset>2198370</wp:posOffset>
            </wp:positionH>
            <wp:positionV relativeFrom="paragraph">
              <wp:posOffset>724535</wp:posOffset>
            </wp:positionV>
            <wp:extent cx="4366895" cy="3524250"/>
            <wp:effectExtent l="0" t="0" r="0" b="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675" w:rsidRPr="004E10AD">
        <w:rPr>
          <w:sz w:val="28"/>
          <w:szCs w:val="28"/>
        </w:rPr>
        <w:t>В соответствии со статьёй 30 Закона о контрактной системе заказчики обязаны</w:t>
      </w:r>
      <w:r w:rsidR="004E10AD">
        <w:rPr>
          <w:sz w:val="28"/>
          <w:szCs w:val="28"/>
        </w:rPr>
        <w:t xml:space="preserve"> </w:t>
      </w:r>
      <w:r w:rsidR="007E6675" w:rsidRPr="004E10AD">
        <w:rPr>
          <w:sz w:val="28"/>
          <w:szCs w:val="28"/>
        </w:rPr>
        <w:t>осуществлять</w:t>
      </w:r>
      <w:r w:rsidR="004E10AD">
        <w:rPr>
          <w:sz w:val="28"/>
          <w:szCs w:val="28"/>
        </w:rPr>
        <w:t xml:space="preserve"> </w:t>
      </w:r>
      <w:r w:rsidR="007E6675" w:rsidRPr="004E10AD">
        <w:rPr>
          <w:sz w:val="28"/>
          <w:szCs w:val="28"/>
        </w:rPr>
        <w:t>закупки у субъектов малого предпринимательства и социально ориентированных некоммерческих организаций в объёме</w:t>
      </w:r>
      <w:r w:rsidR="004E10AD">
        <w:rPr>
          <w:sz w:val="28"/>
          <w:szCs w:val="28"/>
        </w:rPr>
        <w:t>,</w:t>
      </w:r>
      <w:r w:rsidR="007E6675" w:rsidRPr="004E10AD">
        <w:rPr>
          <w:sz w:val="28"/>
          <w:szCs w:val="28"/>
        </w:rPr>
        <w:t xml:space="preserve"> не менее чем </w:t>
      </w:r>
      <w:r w:rsidR="007E6675" w:rsidRPr="004E10AD">
        <w:rPr>
          <w:b/>
          <w:i/>
          <w:sz w:val="28"/>
          <w:szCs w:val="28"/>
        </w:rPr>
        <w:t>15 процентов</w:t>
      </w:r>
      <w:r w:rsidR="007E6675" w:rsidRPr="004E10AD">
        <w:rPr>
          <w:sz w:val="28"/>
          <w:szCs w:val="28"/>
        </w:rPr>
        <w:t xml:space="preserve"> совокупного годового объёма закупок. </w:t>
      </w:r>
    </w:p>
    <w:p w:rsidR="00E34848" w:rsidRDefault="007E6675" w:rsidP="007E6675">
      <w:pPr>
        <w:ind w:firstLine="709"/>
        <w:jc w:val="both"/>
        <w:rPr>
          <w:color w:val="000000" w:themeColor="text1"/>
          <w:sz w:val="28"/>
          <w:szCs w:val="28"/>
        </w:rPr>
      </w:pPr>
      <w:r w:rsidRPr="004F336D">
        <w:rPr>
          <w:sz w:val="28"/>
          <w:szCs w:val="28"/>
        </w:rPr>
        <w:t xml:space="preserve">По данным Общероссийского официального сайта </w:t>
      </w:r>
      <w:r w:rsidRPr="004F336D">
        <w:rPr>
          <w:color w:val="000000" w:themeColor="text1"/>
          <w:sz w:val="28"/>
          <w:szCs w:val="28"/>
        </w:rPr>
        <w:t>в 201</w:t>
      </w:r>
      <w:r w:rsidR="009A5433">
        <w:rPr>
          <w:color w:val="000000" w:themeColor="text1"/>
          <w:sz w:val="28"/>
          <w:szCs w:val="28"/>
        </w:rPr>
        <w:t>6</w:t>
      </w:r>
      <w:r w:rsidRPr="004F336D">
        <w:rPr>
          <w:color w:val="000000" w:themeColor="text1"/>
          <w:sz w:val="28"/>
          <w:szCs w:val="28"/>
        </w:rPr>
        <w:t xml:space="preserve"> году </w:t>
      </w:r>
      <w:r w:rsidRPr="004F336D">
        <w:rPr>
          <w:sz w:val="28"/>
          <w:szCs w:val="28"/>
        </w:rPr>
        <w:t>доля закупок у субъектов малого предпринимательства или социально ориентированных некоммерческих организаций</w:t>
      </w:r>
      <w:r w:rsidRPr="004F336D">
        <w:rPr>
          <w:color w:val="000000" w:themeColor="text1"/>
          <w:sz w:val="28"/>
          <w:szCs w:val="28"/>
        </w:rPr>
        <w:t xml:space="preserve"> при размещении государственных и муниципальных закупок составила в Свердловской области</w:t>
      </w:r>
      <w:r w:rsidR="00E34848">
        <w:rPr>
          <w:color w:val="000000" w:themeColor="text1"/>
          <w:sz w:val="28"/>
          <w:szCs w:val="28"/>
        </w:rPr>
        <w:t>.</w:t>
      </w:r>
    </w:p>
    <w:p w:rsidR="004E10AD" w:rsidRPr="004F336D" w:rsidRDefault="004E10AD" w:rsidP="00F375F3">
      <w:pPr>
        <w:jc w:val="both"/>
        <w:rPr>
          <w:sz w:val="16"/>
          <w:szCs w:val="16"/>
        </w:rPr>
      </w:pPr>
    </w:p>
    <w:p w:rsidR="00845B14" w:rsidRPr="00A97AD7" w:rsidRDefault="00845B14" w:rsidP="00845B14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97AD7">
        <w:rPr>
          <w:sz w:val="28"/>
          <w:szCs w:val="28"/>
        </w:rPr>
        <w:t>По данным официальном сайте Е</w:t>
      </w:r>
      <w:r w:rsidR="00E25615">
        <w:rPr>
          <w:sz w:val="28"/>
          <w:szCs w:val="28"/>
        </w:rPr>
        <w:t xml:space="preserve">ИС </w:t>
      </w:r>
      <w:r w:rsidRPr="00A97AD7">
        <w:rPr>
          <w:color w:val="000000" w:themeColor="text1"/>
          <w:sz w:val="28"/>
          <w:szCs w:val="28"/>
        </w:rPr>
        <w:t xml:space="preserve">в 2015 году </w:t>
      </w:r>
      <w:r w:rsidRPr="00A97AD7">
        <w:rPr>
          <w:sz w:val="28"/>
          <w:szCs w:val="28"/>
        </w:rPr>
        <w:t>доля закупок у субъектов малого предпринимательства или социально ориентированных некоммерческих организаций</w:t>
      </w:r>
      <w:r w:rsidRPr="00A97AD7">
        <w:rPr>
          <w:color w:val="000000" w:themeColor="text1"/>
          <w:sz w:val="28"/>
          <w:szCs w:val="28"/>
        </w:rPr>
        <w:t xml:space="preserve"> при размещении государственных и муниципальных закупок составила в Свердловской области </w:t>
      </w:r>
      <w:r w:rsidRPr="00A97AD7">
        <w:rPr>
          <w:b/>
          <w:i/>
          <w:color w:val="000000" w:themeColor="text1"/>
          <w:sz w:val="28"/>
          <w:szCs w:val="28"/>
        </w:rPr>
        <w:t>15,6 процента</w:t>
      </w:r>
      <w:r w:rsidRPr="00A97AD7">
        <w:rPr>
          <w:color w:val="000000" w:themeColor="text1"/>
          <w:sz w:val="28"/>
          <w:szCs w:val="28"/>
        </w:rPr>
        <w:t>,</w:t>
      </w:r>
      <w:r w:rsidRPr="00A97AD7">
        <w:rPr>
          <w:color w:val="FF0000"/>
          <w:sz w:val="28"/>
          <w:szCs w:val="28"/>
        </w:rPr>
        <w:t xml:space="preserve"> </w:t>
      </w:r>
      <w:r w:rsidRPr="00A97AD7">
        <w:rPr>
          <w:color w:val="000000" w:themeColor="text1"/>
          <w:sz w:val="28"/>
          <w:szCs w:val="28"/>
        </w:rPr>
        <w:t xml:space="preserve">по результатам 2016 года – </w:t>
      </w:r>
      <w:r w:rsidRPr="00A97AD7">
        <w:rPr>
          <w:b/>
          <w:i/>
          <w:color w:val="000000" w:themeColor="text1"/>
          <w:sz w:val="28"/>
          <w:szCs w:val="28"/>
        </w:rPr>
        <w:t xml:space="preserve">17,9 процентов </w:t>
      </w:r>
      <w:r w:rsidRPr="00A97AD7">
        <w:rPr>
          <w:color w:val="000000" w:themeColor="text1"/>
          <w:sz w:val="28"/>
          <w:szCs w:val="28"/>
        </w:rPr>
        <w:t xml:space="preserve">(в расчёт не входит объём закупок, размещённый у </w:t>
      </w:r>
      <w:r w:rsidRPr="00A97AD7">
        <w:rPr>
          <w:sz w:val="28"/>
          <w:szCs w:val="28"/>
        </w:rPr>
        <w:t xml:space="preserve">субъектов малого предпринимательства и социально ориентированных некоммерческих организаций </w:t>
      </w:r>
      <w:r w:rsidRPr="00A97AD7">
        <w:rPr>
          <w:color w:val="000000" w:themeColor="text1"/>
          <w:sz w:val="28"/>
          <w:szCs w:val="28"/>
        </w:rPr>
        <w:t>при привлечении их на условиях субподряда).</w:t>
      </w:r>
      <w:proofErr w:type="gramEnd"/>
    </w:p>
    <w:p w:rsidR="00A12385" w:rsidRDefault="00A12385" w:rsidP="00344EB3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1F27C4">
        <w:rPr>
          <w:noProof/>
          <w:color w:val="000000" w:themeColor="text1"/>
          <w:sz w:val="28"/>
          <w:szCs w:val="28"/>
        </w:rPr>
        <w:t xml:space="preserve">Таким образом, в связи с внедрением Закона о контрактной системе происходит </w:t>
      </w:r>
      <w:r w:rsidR="00E34848" w:rsidRPr="001F27C4">
        <w:rPr>
          <w:noProof/>
          <w:color w:val="000000" w:themeColor="text1"/>
          <w:sz w:val="28"/>
          <w:szCs w:val="28"/>
        </w:rPr>
        <w:t xml:space="preserve">постепенное </w:t>
      </w:r>
      <w:r w:rsidRPr="001F27C4">
        <w:rPr>
          <w:noProof/>
          <w:color w:val="000000" w:themeColor="text1"/>
          <w:sz w:val="28"/>
          <w:szCs w:val="28"/>
        </w:rPr>
        <w:t xml:space="preserve">увеличение доли закупок у субъектов малого предпринимательства или социально ориентированных некоммерческих организаций, что </w:t>
      </w:r>
      <w:r w:rsidR="00344EB3" w:rsidRPr="001F27C4">
        <w:rPr>
          <w:noProof/>
          <w:color w:val="000000" w:themeColor="text1"/>
          <w:sz w:val="28"/>
          <w:szCs w:val="28"/>
        </w:rPr>
        <w:t xml:space="preserve">способствует развитию малого бизнеса, </w:t>
      </w:r>
      <w:r w:rsidR="00E34848" w:rsidRPr="001F27C4">
        <w:rPr>
          <w:noProof/>
          <w:color w:val="000000" w:themeColor="text1"/>
          <w:sz w:val="28"/>
          <w:szCs w:val="28"/>
        </w:rPr>
        <w:t>государством оказывается</w:t>
      </w:r>
      <w:r w:rsidR="006D4016">
        <w:rPr>
          <w:noProof/>
          <w:color w:val="000000" w:themeColor="text1"/>
          <w:sz w:val="28"/>
          <w:szCs w:val="28"/>
        </w:rPr>
        <w:t xml:space="preserve"> существнная </w:t>
      </w:r>
      <w:r w:rsidR="00E34848" w:rsidRPr="001F27C4">
        <w:rPr>
          <w:noProof/>
          <w:color w:val="000000" w:themeColor="text1"/>
          <w:sz w:val="28"/>
          <w:szCs w:val="28"/>
        </w:rPr>
        <w:t xml:space="preserve"> поддержа данному сектору экономики</w:t>
      </w:r>
      <w:r w:rsidR="00344EB3" w:rsidRPr="001F27C4">
        <w:rPr>
          <w:noProof/>
          <w:color w:val="000000" w:themeColor="text1"/>
          <w:sz w:val="28"/>
          <w:szCs w:val="28"/>
        </w:rPr>
        <w:t>.</w:t>
      </w:r>
    </w:p>
    <w:p w:rsidR="00545A33" w:rsidRDefault="00545A33">
      <w:pPr>
        <w:spacing w:after="200" w:line="276" w:lineRule="auto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 w:type="page"/>
      </w:r>
    </w:p>
    <w:p w:rsidR="005F40B6" w:rsidRPr="007066FA" w:rsidRDefault="005F40B6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7066FA">
        <w:rPr>
          <w:i/>
          <w:color w:val="auto"/>
          <w:sz w:val="28"/>
          <w:szCs w:val="28"/>
        </w:rPr>
        <w:lastRenderedPageBreak/>
        <w:t xml:space="preserve">ГЛАВА </w:t>
      </w:r>
      <w:r w:rsidRPr="007066FA">
        <w:rPr>
          <w:i/>
          <w:color w:val="auto"/>
          <w:sz w:val="28"/>
          <w:szCs w:val="28"/>
          <w:lang w:val="en-US"/>
        </w:rPr>
        <w:t>II</w:t>
      </w:r>
    </w:p>
    <w:p w:rsidR="006E52A0" w:rsidRPr="007066FA" w:rsidRDefault="001422DF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7066FA">
        <w:rPr>
          <w:i/>
          <w:color w:val="auto"/>
          <w:sz w:val="28"/>
          <w:szCs w:val="28"/>
        </w:rPr>
        <w:t xml:space="preserve">Осуществление закупок </w:t>
      </w:r>
      <w:r w:rsidR="007E6AE6">
        <w:rPr>
          <w:i/>
          <w:color w:val="auto"/>
          <w:sz w:val="28"/>
          <w:szCs w:val="28"/>
        </w:rPr>
        <w:t xml:space="preserve">через </w:t>
      </w:r>
      <w:r w:rsidRPr="007066FA">
        <w:rPr>
          <w:i/>
          <w:color w:val="auto"/>
          <w:sz w:val="28"/>
          <w:szCs w:val="28"/>
        </w:rPr>
        <w:t>Департамент гос</w:t>
      </w:r>
      <w:r w:rsidR="00E34848" w:rsidRPr="007066FA">
        <w:rPr>
          <w:i/>
          <w:color w:val="auto"/>
          <w:sz w:val="28"/>
          <w:szCs w:val="28"/>
        </w:rPr>
        <w:t xml:space="preserve">ударственных </w:t>
      </w:r>
      <w:r w:rsidRPr="007066FA">
        <w:rPr>
          <w:i/>
          <w:color w:val="auto"/>
          <w:sz w:val="28"/>
          <w:szCs w:val="28"/>
        </w:rPr>
        <w:t>закупок Свердловской области.</w:t>
      </w:r>
    </w:p>
    <w:p w:rsidR="00984127" w:rsidRPr="007066FA" w:rsidRDefault="00930897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066FA">
        <w:rPr>
          <w:rFonts w:ascii="Times New Roman" w:hAnsi="Times New Roman" w:cs="Times New Roman"/>
          <w:i/>
          <w:color w:val="auto"/>
          <w:sz w:val="28"/>
          <w:szCs w:val="28"/>
        </w:rPr>
        <w:t>Раздел 1 . Анализ общей ситуации за 2016 год</w:t>
      </w:r>
    </w:p>
    <w:p w:rsidR="00E56A03" w:rsidRPr="00984127" w:rsidRDefault="00E56A03" w:rsidP="00545A33">
      <w:pPr>
        <w:ind w:firstLine="709"/>
        <w:jc w:val="both"/>
        <w:rPr>
          <w:rFonts w:eastAsia="Courier New"/>
          <w:sz w:val="28"/>
          <w:szCs w:val="28"/>
        </w:rPr>
      </w:pPr>
      <w:proofErr w:type="gramStart"/>
      <w:r w:rsidRPr="00984127">
        <w:rPr>
          <w:sz w:val="28"/>
          <w:szCs w:val="28"/>
        </w:rPr>
        <w:t xml:space="preserve">Основными задачами </w:t>
      </w:r>
      <w:bookmarkStart w:id="0" w:name="YANDEX_54"/>
      <w:bookmarkEnd w:id="0"/>
      <w:r w:rsidRPr="00984127">
        <w:rPr>
          <w:sz w:val="28"/>
          <w:szCs w:val="28"/>
        </w:rPr>
        <w:t xml:space="preserve">Департамента </w:t>
      </w:r>
      <w:proofErr w:type="spellStart"/>
      <w:r w:rsidR="001863C6">
        <w:rPr>
          <w:sz w:val="28"/>
          <w:szCs w:val="28"/>
        </w:rPr>
        <w:t>госзакупок</w:t>
      </w:r>
      <w:proofErr w:type="spellEnd"/>
      <w:r w:rsidR="001863C6">
        <w:rPr>
          <w:sz w:val="28"/>
          <w:szCs w:val="28"/>
        </w:rPr>
        <w:t xml:space="preserve"> Свердловской области являе</w:t>
      </w:r>
      <w:r w:rsidRPr="00984127">
        <w:rPr>
          <w:sz w:val="28"/>
          <w:szCs w:val="28"/>
        </w:rPr>
        <w:t xml:space="preserve">тся реализация (во взаимодействии с федеральным органом исполнительной власти по регулированию контрактной системы в сфере закупок) государственной политики в сфере закупок для обеспечения нужд Свердловской области, что </w:t>
      </w:r>
      <w:bookmarkStart w:id="1" w:name="YANDEX_55"/>
      <w:bookmarkEnd w:id="1"/>
      <w:r w:rsidRPr="00984127">
        <w:rPr>
          <w:sz w:val="28"/>
          <w:szCs w:val="28"/>
        </w:rPr>
        <w:t>способствует повышению эффективности расходования бюджетных средств и реализации антикоррупционной политики государства, а также осуществление полномочий по определению поставщиков (подрядчиков, исполнителей) для заказчиков Свердловской области на закупку товаров</w:t>
      </w:r>
      <w:proofErr w:type="gramEnd"/>
      <w:r w:rsidRPr="00984127">
        <w:rPr>
          <w:sz w:val="28"/>
          <w:szCs w:val="28"/>
        </w:rPr>
        <w:t>, работ, услуг.</w:t>
      </w:r>
    </w:p>
    <w:p w:rsidR="007C5557" w:rsidRPr="00984127" w:rsidRDefault="00545A33" w:rsidP="007C5557">
      <w:pPr>
        <w:ind w:firstLine="709"/>
        <w:rPr>
          <w:sz w:val="28"/>
          <w:szCs w:val="28"/>
        </w:rPr>
      </w:pPr>
      <w:r w:rsidRPr="00984127">
        <w:rPr>
          <w:rFonts w:eastAsia="Courier New"/>
          <w:noProof/>
          <w:sz w:val="28"/>
          <w:szCs w:val="28"/>
        </w:rPr>
        <w:drawing>
          <wp:anchor distT="0" distB="0" distL="114300" distR="114300" simplePos="0" relativeHeight="251649535" behindDoc="0" locked="0" layoutInCell="1" allowOverlap="1" wp14:anchorId="415AD4F9" wp14:editId="54A92A2D">
            <wp:simplePos x="0" y="0"/>
            <wp:positionH relativeFrom="column">
              <wp:posOffset>2790825</wp:posOffset>
            </wp:positionH>
            <wp:positionV relativeFrom="paragraph">
              <wp:posOffset>36195</wp:posOffset>
            </wp:positionV>
            <wp:extent cx="3540760" cy="2221865"/>
            <wp:effectExtent l="0" t="0" r="2540" b="6985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A03" w:rsidRPr="00984127">
        <w:rPr>
          <w:sz w:val="28"/>
          <w:szCs w:val="28"/>
        </w:rPr>
        <w:t>В период с 01.01.2016 г. по 31.12.2016 г. в Департамент</w:t>
      </w:r>
      <w:r w:rsidR="00CE6C8D">
        <w:rPr>
          <w:sz w:val="28"/>
          <w:szCs w:val="28"/>
        </w:rPr>
        <w:t xml:space="preserve"> </w:t>
      </w:r>
      <w:proofErr w:type="spellStart"/>
      <w:r w:rsidR="00CE6C8D">
        <w:rPr>
          <w:sz w:val="28"/>
          <w:szCs w:val="28"/>
        </w:rPr>
        <w:t>госзакупок</w:t>
      </w:r>
      <w:proofErr w:type="spellEnd"/>
      <w:r w:rsidR="00CE6C8D">
        <w:rPr>
          <w:sz w:val="28"/>
          <w:szCs w:val="28"/>
        </w:rPr>
        <w:t xml:space="preserve"> Свердловской области</w:t>
      </w:r>
      <w:r w:rsidR="00594D38">
        <w:rPr>
          <w:sz w:val="28"/>
          <w:szCs w:val="28"/>
        </w:rPr>
        <w:t xml:space="preserve"> </w:t>
      </w:r>
      <w:r w:rsidR="00E56A03" w:rsidRPr="00984127">
        <w:rPr>
          <w:sz w:val="28"/>
          <w:szCs w:val="28"/>
        </w:rPr>
        <w:t xml:space="preserve"> поступило 2680 заяв</w:t>
      </w:r>
      <w:r w:rsidR="007C5557" w:rsidRPr="00984127">
        <w:rPr>
          <w:sz w:val="28"/>
          <w:szCs w:val="28"/>
        </w:rPr>
        <w:t xml:space="preserve">ок </w:t>
      </w:r>
      <w:r w:rsidR="00E56A03" w:rsidRPr="00984127">
        <w:rPr>
          <w:sz w:val="28"/>
          <w:szCs w:val="28"/>
        </w:rPr>
        <w:t>заказчиков на определение поставщика (подрядчика, исполнителя) на сумму 39421,83 млн. руб., из них:</w:t>
      </w:r>
    </w:p>
    <w:p w:rsidR="00545A33" w:rsidRPr="00984127" w:rsidRDefault="00545A33" w:rsidP="007C5557">
      <w:pPr>
        <w:ind w:firstLine="709"/>
        <w:rPr>
          <w:sz w:val="28"/>
          <w:szCs w:val="28"/>
        </w:rPr>
      </w:pPr>
    </w:p>
    <w:p w:rsidR="00E56A03" w:rsidRPr="00984127" w:rsidRDefault="00E56A03" w:rsidP="007C5557">
      <w:pPr>
        <w:ind w:firstLine="709"/>
        <w:rPr>
          <w:sz w:val="28"/>
          <w:szCs w:val="28"/>
        </w:rPr>
      </w:pPr>
      <w:r w:rsidRPr="00984127">
        <w:rPr>
          <w:sz w:val="28"/>
          <w:szCs w:val="28"/>
        </w:rPr>
        <w:t>- с начальной (максимальной) ценой контракта от одного до пяти миллионов рублей 1667 заявок или 62,2 % от общего количества поступивших заявок на сумму 3982,84 млн. руб.;</w:t>
      </w:r>
    </w:p>
    <w:p w:rsidR="00545A33" w:rsidRPr="006026F9" w:rsidRDefault="00545A33" w:rsidP="007C5557">
      <w:pPr>
        <w:ind w:firstLine="709"/>
        <w:rPr>
          <w:rFonts w:eastAsia="Courier New"/>
          <w:sz w:val="26"/>
          <w:szCs w:val="26"/>
        </w:rPr>
      </w:pPr>
    </w:p>
    <w:p w:rsidR="00E56A03" w:rsidRPr="00984127" w:rsidRDefault="00351F20" w:rsidP="00E56A03">
      <w:pPr>
        <w:ind w:firstLine="709"/>
        <w:jc w:val="both"/>
        <w:rPr>
          <w:rFonts w:eastAsia="Courier New"/>
          <w:sz w:val="28"/>
          <w:szCs w:val="28"/>
        </w:rPr>
      </w:pPr>
      <w:r w:rsidRPr="00984127">
        <w:rPr>
          <w:rFonts w:eastAsia="Courier New"/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78C3D264" wp14:editId="0B6B4290">
            <wp:simplePos x="0" y="0"/>
            <wp:positionH relativeFrom="column">
              <wp:posOffset>2913380</wp:posOffset>
            </wp:positionH>
            <wp:positionV relativeFrom="paragraph">
              <wp:posOffset>86360</wp:posOffset>
            </wp:positionV>
            <wp:extent cx="3369310" cy="2454910"/>
            <wp:effectExtent l="0" t="0" r="2540" b="2540"/>
            <wp:wrapSquare wrapText="bothSides"/>
            <wp:docPr id="4100" name="Диаграмма 4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A03" w:rsidRPr="00984127">
        <w:rPr>
          <w:sz w:val="28"/>
          <w:szCs w:val="28"/>
        </w:rPr>
        <w:t>- с начальной (максимальной) ценой контракта пять миллионов рублей и более 718 заявок или 26,8 % от общего количества поступивших заявок на сумму 35167,09 млн. руб.;</w:t>
      </w:r>
    </w:p>
    <w:p w:rsidR="00E56A03" w:rsidRPr="00984127" w:rsidRDefault="00E56A03" w:rsidP="00E56A03">
      <w:pPr>
        <w:ind w:firstLine="709"/>
        <w:jc w:val="both"/>
        <w:rPr>
          <w:sz w:val="28"/>
          <w:szCs w:val="28"/>
        </w:rPr>
      </w:pPr>
      <w:r w:rsidRPr="00984127">
        <w:rPr>
          <w:sz w:val="28"/>
          <w:szCs w:val="28"/>
        </w:rPr>
        <w:t xml:space="preserve">- совместные торги: 295 заявок (24 лотов) или 11 % от общего количества поступивших заявок на сумму 271,9 млн. руб. </w:t>
      </w:r>
    </w:p>
    <w:p w:rsidR="00984127" w:rsidRPr="00984127" w:rsidRDefault="00984127" w:rsidP="00984127">
      <w:pPr>
        <w:ind w:firstLine="708"/>
        <w:jc w:val="both"/>
        <w:rPr>
          <w:sz w:val="28"/>
          <w:szCs w:val="28"/>
        </w:rPr>
      </w:pPr>
      <w:r w:rsidRPr="00984127">
        <w:rPr>
          <w:sz w:val="28"/>
          <w:szCs w:val="28"/>
        </w:rPr>
        <w:t>По состоянию на 31.12.2016 г. объявлено 2 366 процедура торгов на сумму 38 228,36 млн. руб. (за аналогичный период 2015 года – 2 337 процедур на сумму 64 080,0 млн. руб.).</w:t>
      </w:r>
    </w:p>
    <w:p w:rsidR="00984127" w:rsidRPr="00984127" w:rsidRDefault="00984127" w:rsidP="00984127">
      <w:pPr>
        <w:ind w:firstLine="708"/>
        <w:jc w:val="both"/>
        <w:rPr>
          <w:sz w:val="28"/>
          <w:szCs w:val="28"/>
        </w:rPr>
      </w:pPr>
      <w:r w:rsidRPr="00984127">
        <w:rPr>
          <w:sz w:val="28"/>
          <w:szCs w:val="28"/>
        </w:rPr>
        <w:t xml:space="preserve">По результатам проведенных Департаментом </w:t>
      </w:r>
      <w:proofErr w:type="spellStart"/>
      <w:r w:rsidRPr="00984127">
        <w:rPr>
          <w:sz w:val="28"/>
          <w:szCs w:val="28"/>
        </w:rPr>
        <w:t>госзакупок</w:t>
      </w:r>
      <w:proofErr w:type="spellEnd"/>
      <w:r w:rsidRPr="00984127">
        <w:rPr>
          <w:sz w:val="28"/>
          <w:szCs w:val="28"/>
        </w:rPr>
        <w:t xml:space="preserve"> Свердловской области торгов достигнута экономия средств бюджета Свердловской области в </w:t>
      </w:r>
      <w:r w:rsidRPr="00984127">
        <w:rPr>
          <w:sz w:val="28"/>
          <w:szCs w:val="28"/>
        </w:rPr>
        <w:lastRenderedPageBreak/>
        <w:t xml:space="preserve">сумме </w:t>
      </w:r>
      <w:r w:rsidRPr="00F71866">
        <w:rPr>
          <w:b/>
          <w:i/>
          <w:sz w:val="28"/>
          <w:szCs w:val="28"/>
        </w:rPr>
        <w:t>2 386,38</w:t>
      </w:r>
      <w:r w:rsidRPr="00984127">
        <w:rPr>
          <w:sz w:val="28"/>
          <w:szCs w:val="28"/>
        </w:rPr>
        <w:t xml:space="preserve"> млн. руб. или </w:t>
      </w:r>
      <w:r w:rsidRPr="00F71866">
        <w:rPr>
          <w:b/>
          <w:i/>
          <w:sz w:val="28"/>
          <w:szCs w:val="28"/>
        </w:rPr>
        <w:t>9,02 %</w:t>
      </w:r>
      <w:r w:rsidRPr="00984127">
        <w:rPr>
          <w:sz w:val="28"/>
          <w:szCs w:val="28"/>
        </w:rPr>
        <w:t xml:space="preserve"> (за аналогичный период 2015 года на сумму 2 493,80 млн. руб.). </w:t>
      </w:r>
    </w:p>
    <w:p w:rsidR="00984127" w:rsidRPr="000331D1" w:rsidRDefault="00984127" w:rsidP="00984127">
      <w:pPr>
        <w:ind w:firstLine="708"/>
        <w:jc w:val="both"/>
        <w:rPr>
          <w:sz w:val="28"/>
          <w:szCs w:val="28"/>
        </w:rPr>
      </w:pPr>
      <w:proofErr w:type="gramStart"/>
      <w:r w:rsidRPr="000331D1">
        <w:rPr>
          <w:sz w:val="28"/>
          <w:szCs w:val="28"/>
        </w:rPr>
        <w:t xml:space="preserve">В соответствии с постановлением Правительства Свердловской области от 27.12.2013 № 1665-ПП 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 Департамент </w:t>
      </w:r>
      <w:proofErr w:type="spellStart"/>
      <w:r w:rsidRPr="000331D1">
        <w:rPr>
          <w:sz w:val="28"/>
          <w:szCs w:val="28"/>
        </w:rPr>
        <w:t>госзакупок</w:t>
      </w:r>
      <w:proofErr w:type="spellEnd"/>
      <w:r w:rsidRPr="000331D1">
        <w:rPr>
          <w:sz w:val="28"/>
          <w:szCs w:val="28"/>
        </w:rPr>
        <w:t xml:space="preserve"> Свердловской области, при осуществлении заказчиками Свердловской области закупок товаров, работ, услуг с</w:t>
      </w:r>
      <w:proofErr w:type="gramEnd"/>
      <w:r w:rsidRPr="000331D1">
        <w:rPr>
          <w:sz w:val="28"/>
          <w:szCs w:val="28"/>
        </w:rPr>
        <w:t xml:space="preserve"> начальной (максимальной) ценой контракта пять миллионов рублей и более рассматривает заявки на предмет их соответствия требованиям законодательства в сфере закупок товаров, работ, услуг, законодательства Свердловской области.</w:t>
      </w:r>
    </w:p>
    <w:p w:rsidR="00984127" w:rsidRPr="000331D1" w:rsidRDefault="00984127" w:rsidP="00984127">
      <w:pPr>
        <w:ind w:firstLine="708"/>
        <w:jc w:val="both"/>
        <w:rPr>
          <w:sz w:val="28"/>
          <w:szCs w:val="28"/>
        </w:rPr>
      </w:pPr>
      <w:proofErr w:type="gramStart"/>
      <w:r w:rsidRPr="000331D1">
        <w:rPr>
          <w:sz w:val="28"/>
          <w:szCs w:val="28"/>
        </w:rPr>
        <w:t xml:space="preserve">Так, по заявкам, с начальной (максимальной) ценой контракта пять миллионов рублей и более, Департаментом </w:t>
      </w:r>
      <w:proofErr w:type="spellStart"/>
      <w:r w:rsidRPr="000331D1">
        <w:rPr>
          <w:sz w:val="28"/>
          <w:szCs w:val="28"/>
        </w:rPr>
        <w:t>госзакупок</w:t>
      </w:r>
      <w:proofErr w:type="spellEnd"/>
      <w:r w:rsidRPr="000331D1">
        <w:rPr>
          <w:sz w:val="28"/>
          <w:szCs w:val="28"/>
        </w:rPr>
        <w:t xml:space="preserve"> Свердловской области выявлены нарушения требований законодательства в сфере закупок товаров, работ, услуг в </w:t>
      </w:r>
      <w:r w:rsidRPr="00E77310">
        <w:rPr>
          <w:b/>
          <w:i/>
          <w:sz w:val="28"/>
          <w:szCs w:val="28"/>
        </w:rPr>
        <w:t>431</w:t>
      </w:r>
      <w:r w:rsidRPr="000331D1">
        <w:rPr>
          <w:sz w:val="28"/>
          <w:szCs w:val="28"/>
        </w:rPr>
        <w:t xml:space="preserve"> случае, что составляет </w:t>
      </w:r>
      <w:r w:rsidRPr="00E77310">
        <w:rPr>
          <w:b/>
          <w:i/>
          <w:sz w:val="28"/>
          <w:szCs w:val="28"/>
        </w:rPr>
        <w:t>58,1 %</w:t>
      </w:r>
      <w:r w:rsidRPr="000331D1">
        <w:rPr>
          <w:sz w:val="28"/>
          <w:szCs w:val="28"/>
        </w:rPr>
        <w:t xml:space="preserve"> от общего числа рассмотренных заявок с начальной (максимальной) ценой контракта пять миллионов рублей и более (за аналогичный период 2015 года – в 539 случаях или 59,5 % соответственно).</w:t>
      </w:r>
      <w:proofErr w:type="gramEnd"/>
    </w:p>
    <w:p w:rsidR="00984127" w:rsidRPr="000331D1" w:rsidRDefault="00984127" w:rsidP="00984127">
      <w:pPr>
        <w:ind w:firstLine="708"/>
        <w:jc w:val="both"/>
        <w:rPr>
          <w:sz w:val="28"/>
          <w:szCs w:val="28"/>
        </w:rPr>
      </w:pPr>
      <w:r w:rsidRPr="000331D1">
        <w:rPr>
          <w:sz w:val="28"/>
          <w:szCs w:val="28"/>
        </w:rPr>
        <w:t xml:space="preserve">Кроме того, в процессе рассмотрения заявок начальная (максимальная) цена контракта по замечаниям Департамента </w:t>
      </w:r>
      <w:proofErr w:type="spellStart"/>
      <w:r w:rsidRPr="000331D1">
        <w:rPr>
          <w:sz w:val="28"/>
          <w:szCs w:val="28"/>
        </w:rPr>
        <w:t>госзакупок</w:t>
      </w:r>
      <w:proofErr w:type="spellEnd"/>
      <w:r w:rsidRPr="000331D1">
        <w:rPr>
          <w:sz w:val="28"/>
          <w:szCs w:val="28"/>
        </w:rPr>
        <w:t xml:space="preserve"> Свердловской области была скорректирована в сторону снижения на </w:t>
      </w:r>
      <w:r w:rsidRPr="00C77FE1">
        <w:rPr>
          <w:b/>
          <w:i/>
          <w:sz w:val="28"/>
          <w:szCs w:val="28"/>
        </w:rPr>
        <w:t>86,4 млн. руб</w:t>
      </w:r>
      <w:r w:rsidR="00C77FE1">
        <w:rPr>
          <w:b/>
          <w:i/>
          <w:sz w:val="28"/>
          <w:szCs w:val="28"/>
        </w:rPr>
        <w:t>лей</w:t>
      </w:r>
      <w:r w:rsidRPr="000331D1">
        <w:rPr>
          <w:sz w:val="28"/>
          <w:szCs w:val="28"/>
        </w:rPr>
        <w:t xml:space="preserve"> от начальной (максимальной) цены контракта, первоначально представленной заказчиками (за аналогичный период 2015 года на 46,7 млн. руб</w:t>
      </w:r>
      <w:r w:rsidR="00C77FE1">
        <w:rPr>
          <w:sz w:val="28"/>
          <w:szCs w:val="28"/>
        </w:rPr>
        <w:t>лей</w:t>
      </w:r>
      <w:r w:rsidRPr="000331D1">
        <w:rPr>
          <w:sz w:val="28"/>
          <w:szCs w:val="28"/>
        </w:rPr>
        <w:t>).</w:t>
      </w:r>
    </w:p>
    <w:p w:rsidR="00984127" w:rsidRPr="000331D1" w:rsidRDefault="00984127" w:rsidP="00984127">
      <w:pPr>
        <w:ind w:firstLine="709"/>
        <w:jc w:val="both"/>
        <w:rPr>
          <w:sz w:val="28"/>
          <w:szCs w:val="28"/>
        </w:rPr>
      </w:pPr>
      <w:r w:rsidRPr="000331D1">
        <w:rPr>
          <w:sz w:val="28"/>
          <w:szCs w:val="28"/>
        </w:rPr>
        <w:t xml:space="preserve">По итогам рассмотрения в 2016 году Департаментом </w:t>
      </w:r>
      <w:proofErr w:type="spellStart"/>
      <w:r w:rsidRPr="000331D1">
        <w:rPr>
          <w:sz w:val="28"/>
          <w:szCs w:val="28"/>
        </w:rPr>
        <w:t>госзакупок</w:t>
      </w:r>
      <w:proofErr w:type="spellEnd"/>
      <w:r w:rsidRPr="000331D1">
        <w:rPr>
          <w:sz w:val="28"/>
          <w:szCs w:val="28"/>
        </w:rPr>
        <w:t xml:space="preserve"> Свердловской области заявок заказчиков на предмет соответствия требованиям законодательства в сфере закупок выявлялись следующие основные нарушения:</w:t>
      </w:r>
    </w:p>
    <w:p w:rsidR="00984127" w:rsidRPr="000331D1" w:rsidRDefault="00984127" w:rsidP="00984127">
      <w:pPr>
        <w:pStyle w:val="ae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1D1">
        <w:rPr>
          <w:rFonts w:eastAsiaTheme="minorHAnsi"/>
          <w:sz w:val="28"/>
          <w:szCs w:val="28"/>
          <w:lang w:eastAsia="en-US"/>
        </w:rPr>
        <w:t>в части планирования закупок:</w:t>
      </w:r>
    </w:p>
    <w:p w:rsidR="00984127" w:rsidRPr="000331D1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1D1">
        <w:rPr>
          <w:rFonts w:eastAsiaTheme="minorHAnsi"/>
          <w:sz w:val="28"/>
          <w:szCs w:val="28"/>
          <w:lang w:eastAsia="en-US"/>
        </w:rPr>
        <w:t xml:space="preserve">несвоевременное размещение планов-графиков размещения заказов </w:t>
      </w:r>
      <w:r w:rsidRPr="000331D1">
        <w:rPr>
          <w:rFonts w:eastAsiaTheme="minorHAnsi"/>
          <w:sz w:val="28"/>
          <w:szCs w:val="28"/>
          <w:lang w:eastAsia="en-US"/>
        </w:rPr>
        <w:br/>
        <w:t xml:space="preserve">на текущий год, а также невнесение или несвоевременное внесение изменений </w:t>
      </w:r>
      <w:r w:rsidRPr="000331D1">
        <w:rPr>
          <w:rFonts w:eastAsiaTheme="minorHAnsi"/>
          <w:sz w:val="28"/>
          <w:szCs w:val="28"/>
          <w:lang w:eastAsia="en-US"/>
        </w:rPr>
        <w:br/>
        <w:t>в планы-графики;</w:t>
      </w:r>
    </w:p>
    <w:p w:rsidR="00984127" w:rsidRPr="000331D1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1D1">
        <w:rPr>
          <w:rFonts w:eastAsiaTheme="minorHAnsi"/>
          <w:sz w:val="28"/>
          <w:szCs w:val="28"/>
          <w:lang w:eastAsia="en-US"/>
        </w:rPr>
        <w:t xml:space="preserve">отсутствие информации о закупке в плане-графике размещения заказов; </w:t>
      </w:r>
    </w:p>
    <w:p w:rsidR="00984127" w:rsidRPr="000331D1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1D1">
        <w:rPr>
          <w:rFonts w:eastAsiaTheme="minorHAnsi"/>
          <w:sz w:val="28"/>
          <w:szCs w:val="28"/>
          <w:lang w:eastAsia="en-US"/>
        </w:rPr>
        <w:t xml:space="preserve">указание в плане-графике размещения заказов информации, </w:t>
      </w:r>
      <w:r w:rsidRPr="000331D1">
        <w:rPr>
          <w:rFonts w:eastAsiaTheme="minorHAnsi"/>
          <w:sz w:val="28"/>
          <w:szCs w:val="28"/>
          <w:lang w:eastAsia="en-US"/>
        </w:rPr>
        <w:br/>
        <w:t xml:space="preserve">не соответствующей опубликованной впоследствии закупке или поданной </w:t>
      </w:r>
      <w:r w:rsidRPr="000331D1">
        <w:rPr>
          <w:rFonts w:eastAsiaTheme="minorHAnsi"/>
          <w:sz w:val="28"/>
          <w:szCs w:val="28"/>
          <w:lang w:eastAsia="en-US"/>
        </w:rPr>
        <w:br/>
        <w:t>в уполномоченной орган заявке;</w:t>
      </w:r>
    </w:p>
    <w:p w:rsidR="00984127" w:rsidRPr="000331D1" w:rsidRDefault="00984127" w:rsidP="00984127">
      <w:pPr>
        <w:pStyle w:val="ae"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331D1">
        <w:rPr>
          <w:rFonts w:eastAsiaTheme="minorHAnsi"/>
          <w:sz w:val="28"/>
          <w:szCs w:val="28"/>
          <w:lang w:eastAsia="en-US"/>
        </w:rPr>
        <w:t>в части документации о закупке: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 xml:space="preserve">установление незаконных требований к участникам закупки (в том числе с признаками ограничения конкуренции) или </w:t>
      </w:r>
      <w:proofErr w:type="spellStart"/>
      <w:r w:rsidRPr="00991F7F">
        <w:rPr>
          <w:rFonts w:eastAsiaTheme="minorHAnsi"/>
          <w:sz w:val="28"/>
          <w:szCs w:val="28"/>
          <w:lang w:eastAsia="en-US"/>
        </w:rPr>
        <w:t>неустановление</w:t>
      </w:r>
      <w:proofErr w:type="spellEnd"/>
      <w:r w:rsidRPr="00991F7F">
        <w:rPr>
          <w:rFonts w:eastAsiaTheme="minorHAnsi"/>
          <w:sz w:val="28"/>
          <w:szCs w:val="28"/>
          <w:lang w:eastAsia="en-US"/>
        </w:rPr>
        <w:t xml:space="preserve"> необходимых требований к участникам закупки;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 xml:space="preserve">нарушение при формировании описания объекта закупки (установление характеристик товара, не соответствующих ГОСТам, техническим регламентам или стандартам; установление характеристик конкретного товара </w:t>
      </w:r>
      <w:r w:rsidRPr="00991F7F">
        <w:rPr>
          <w:rFonts w:eastAsiaTheme="minorHAnsi"/>
          <w:sz w:val="28"/>
          <w:szCs w:val="28"/>
          <w:lang w:eastAsia="en-US"/>
        </w:rPr>
        <w:lastRenderedPageBreak/>
        <w:t>(торговой марки), влекущих ограничение конкуренции, установление несуществующих характеристик товара);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>несоответствие описания объекта закупки инструкции по заполнению заявки участником закупки;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>объединение в один лот товаров, работ, услуг, функционально не связанных между собой;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 xml:space="preserve">нарушения в части подготовки проектов контрактов; </w:t>
      </w:r>
    </w:p>
    <w:p w:rsidR="00984127" w:rsidRPr="00991F7F" w:rsidRDefault="00984127" w:rsidP="00984127">
      <w:pPr>
        <w:pStyle w:val="ae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>нарушения при формировании (начальной) максимальной цены контракта.</w:t>
      </w:r>
    </w:p>
    <w:p w:rsidR="00984127" w:rsidRPr="00991F7F" w:rsidRDefault="00984127" w:rsidP="00984127">
      <w:pPr>
        <w:pStyle w:val="ae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91F7F">
        <w:rPr>
          <w:rFonts w:eastAsiaTheme="minorHAnsi"/>
          <w:sz w:val="28"/>
          <w:szCs w:val="28"/>
          <w:lang w:eastAsia="en-US"/>
        </w:rPr>
        <w:t xml:space="preserve">Наибольшее </w:t>
      </w:r>
      <w:r w:rsidR="00576E55">
        <w:rPr>
          <w:rFonts w:eastAsiaTheme="minorHAnsi"/>
          <w:sz w:val="28"/>
          <w:szCs w:val="28"/>
          <w:lang w:eastAsia="en-US"/>
        </w:rPr>
        <w:t>количество нарушений выявлены</w:t>
      </w:r>
      <w:r w:rsidRPr="00991F7F">
        <w:rPr>
          <w:rFonts w:eastAsiaTheme="minorHAnsi"/>
          <w:sz w:val="28"/>
          <w:szCs w:val="28"/>
          <w:lang w:eastAsia="en-US"/>
        </w:rPr>
        <w:t xml:space="preserve"> Департаментом </w:t>
      </w:r>
      <w:proofErr w:type="spellStart"/>
      <w:r w:rsidRPr="00991F7F">
        <w:rPr>
          <w:rFonts w:eastAsiaTheme="minorHAnsi"/>
          <w:sz w:val="28"/>
          <w:szCs w:val="28"/>
          <w:lang w:eastAsia="en-US"/>
        </w:rPr>
        <w:t>госзакупок</w:t>
      </w:r>
      <w:proofErr w:type="spellEnd"/>
      <w:r w:rsidRPr="00991F7F">
        <w:rPr>
          <w:rFonts w:eastAsiaTheme="minorHAnsi"/>
          <w:sz w:val="28"/>
          <w:szCs w:val="28"/>
          <w:lang w:eastAsia="en-US"/>
        </w:rPr>
        <w:t xml:space="preserve"> Свердловской области при рассмотрении заявок заказчиков </w:t>
      </w:r>
      <w:r w:rsidRPr="00991F7F">
        <w:rPr>
          <w:rFonts w:eastAsiaTheme="minorHAnsi"/>
          <w:sz w:val="28"/>
          <w:szCs w:val="28"/>
          <w:lang w:eastAsia="en-US"/>
        </w:rPr>
        <w:br/>
        <w:t>государственного казённого учреждения Свердловской области «Управление автомобильных дорог», государственного казённого учреждения Свердловской области «Управление капитального строительства Свердловской области», муниципальных заказчиков.</w:t>
      </w:r>
    </w:p>
    <w:p w:rsidR="00E56A03" w:rsidRDefault="00E56A03" w:rsidP="00D2538D">
      <w:pPr>
        <w:ind w:firstLine="709"/>
        <w:jc w:val="both"/>
        <w:rPr>
          <w:sz w:val="28"/>
          <w:szCs w:val="28"/>
        </w:rPr>
      </w:pPr>
    </w:p>
    <w:p w:rsidR="00A00A2E" w:rsidRPr="000331D1" w:rsidRDefault="00A00A2E" w:rsidP="00A00A2E">
      <w:pPr>
        <w:ind w:firstLine="709"/>
        <w:jc w:val="center"/>
        <w:rPr>
          <w:b/>
          <w:i/>
          <w:sz w:val="28"/>
          <w:szCs w:val="28"/>
        </w:rPr>
      </w:pPr>
      <w:r w:rsidRPr="000331D1">
        <w:rPr>
          <w:b/>
          <w:i/>
          <w:sz w:val="28"/>
          <w:szCs w:val="28"/>
        </w:rPr>
        <w:t xml:space="preserve">Динамика основных показателей деятельности </w:t>
      </w:r>
    </w:p>
    <w:p w:rsidR="00A00A2E" w:rsidRPr="000331D1" w:rsidRDefault="00A00A2E" w:rsidP="00A00A2E">
      <w:pPr>
        <w:ind w:firstLine="709"/>
        <w:jc w:val="center"/>
        <w:rPr>
          <w:b/>
          <w:i/>
          <w:sz w:val="28"/>
          <w:szCs w:val="28"/>
        </w:rPr>
      </w:pPr>
      <w:r w:rsidRPr="000331D1">
        <w:rPr>
          <w:b/>
          <w:i/>
          <w:sz w:val="28"/>
          <w:szCs w:val="28"/>
        </w:rPr>
        <w:t>Департамента государственных закупок Свердловской области в 201</w:t>
      </w:r>
      <w:r w:rsidR="00895F6D" w:rsidRPr="000331D1">
        <w:rPr>
          <w:b/>
          <w:i/>
          <w:sz w:val="28"/>
          <w:szCs w:val="28"/>
        </w:rPr>
        <w:t>4</w:t>
      </w:r>
      <w:r w:rsidRPr="000331D1">
        <w:rPr>
          <w:b/>
          <w:i/>
          <w:sz w:val="28"/>
          <w:szCs w:val="28"/>
        </w:rPr>
        <w:t>–201</w:t>
      </w:r>
      <w:r w:rsidR="00895F6D" w:rsidRPr="000331D1">
        <w:rPr>
          <w:b/>
          <w:i/>
          <w:sz w:val="28"/>
          <w:szCs w:val="28"/>
        </w:rPr>
        <w:t>6</w:t>
      </w:r>
      <w:r w:rsidRPr="000331D1">
        <w:rPr>
          <w:b/>
          <w:i/>
          <w:sz w:val="28"/>
          <w:szCs w:val="28"/>
        </w:rPr>
        <w:t xml:space="preserve"> годах</w:t>
      </w:r>
    </w:p>
    <w:p w:rsidR="00CD3B99" w:rsidRDefault="004209E7" w:rsidP="00B86AC2">
      <w:pPr>
        <w:rPr>
          <w:b/>
        </w:rPr>
      </w:pPr>
      <w:r>
        <w:rPr>
          <w:noProof/>
        </w:rPr>
        <w:drawing>
          <wp:inline distT="0" distB="0" distL="0" distR="0" wp14:anchorId="30E99928" wp14:editId="0CA553AC">
            <wp:extent cx="6093229" cy="2385752"/>
            <wp:effectExtent l="0" t="0" r="31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67926" w:rsidRDefault="00A00A2E" w:rsidP="00347604">
      <w:pPr>
        <w:rPr>
          <w:bCs/>
          <w:sz w:val="28"/>
          <w:szCs w:val="28"/>
        </w:rPr>
      </w:pPr>
      <w:r>
        <w:rPr>
          <w:b/>
        </w:rPr>
        <w:t xml:space="preserve"> </w:t>
      </w:r>
      <w:r w:rsidR="00347604">
        <w:rPr>
          <w:noProof/>
        </w:rPr>
        <w:drawing>
          <wp:inline distT="0" distB="0" distL="0" distR="0" wp14:anchorId="7BB9B7BE" wp14:editId="6BDA143A">
            <wp:extent cx="6134793" cy="254369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00A2E" w:rsidRPr="00D67926" w:rsidRDefault="00D67926" w:rsidP="00D67926">
      <w:pPr>
        <w:ind w:firstLine="708"/>
        <w:jc w:val="both"/>
        <w:rPr>
          <w:sz w:val="28"/>
          <w:szCs w:val="28"/>
        </w:rPr>
      </w:pPr>
      <w:r w:rsidRPr="00D67926">
        <w:rPr>
          <w:bCs/>
          <w:sz w:val="28"/>
          <w:szCs w:val="28"/>
        </w:rPr>
        <w:lastRenderedPageBreak/>
        <w:t>Общая экономия по результатам торгов</w:t>
      </w:r>
      <w:r>
        <w:rPr>
          <w:bCs/>
          <w:sz w:val="28"/>
          <w:szCs w:val="28"/>
        </w:rPr>
        <w:t xml:space="preserve"> в 2014 году составила </w:t>
      </w:r>
      <w:r w:rsidR="00FC6215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>1,1 млрд.</w:t>
      </w:r>
      <w:r w:rsidR="00FC6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в 2015 году – 2,49 млрд.</w:t>
      </w:r>
      <w:r w:rsidR="00FC6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рублей, в 2016 – 2,39 млрд.</w:t>
      </w:r>
      <w:r w:rsidR="00FC6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</w:t>
      </w:r>
      <w:r w:rsidR="00FC6215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лей. </w:t>
      </w:r>
    </w:p>
    <w:p w:rsidR="00621D50" w:rsidRPr="00991F7F" w:rsidRDefault="00621D50" w:rsidP="00621D50">
      <w:pPr>
        <w:ind w:firstLine="708"/>
        <w:jc w:val="both"/>
        <w:rPr>
          <w:sz w:val="28"/>
          <w:szCs w:val="28"/>
        </w:rPr>
      </w:pPr>
      <w:r w:rsidRPr="00991F7F">
        <w:rPr>
          <w:sz w:val="28"/>
          <w:szCs w:val="28"/>
        </w:rPr>
        <w:t xml:space="preserve">За 2016 год в Департамент </w:t>
      </w:r>
      <w:proofErr w:type="spellStart"/>
      <w:r w:rsidRPr="00991F7F">
        <w:rPr>
          <w:sz w:val="28"/>
          <w:szCs w:val="28"/>
        </w:rPr>
        <w:t>госзакупок</w:t>
      </w:r>
      <w:proofErr w:type="spellEnd"/>
      <w:r w:rsidRPr="00991F7F">
        <w:rPr>
          <w:sz w:val="28"/>
          <w:szCs w:val="28"/>
        </w:rPr>
        <w:t xml:space="preserve"> Свердловской области поступило 742 заявки на определение поставщика (подрядчика, исполнителя), в отношении которых Департаментом проведена проверка заявок заказчиков Свердловской области на соответствие требованиям законодательства в сфере закупок товаров, работ, услуг. </w:t>
      </w:r>
    </w:p>
    <w:p w:rsidR="00621D50" w:rsidRPr="00991F7F" w:rsidRDefault="00621D50" w:rsidP="00621D50">
      <w:pPr>
        <w:ind w:firstLine="708"/>
        <w:jc w:val="both"/>
        <w:rPr>
          <w:sz w:val="28"/>
          <w:szCs w:val="28"/>
        </w:rPr>
      </w:pPr>
      <w:r w:rsidRPr="00991F7F">
        <w:rPr>
          <w:sz w:val="28"/>
          <w:szCs w:val="28"/>
        </w:rPr>
        <w:t xml:space="preserve">По результатам рассмотрения Управлением федеральной антимонопольной службы по Свердловской области поданных жалоб на действия уполномоченного органа, комиссий по осуществлению закупок, действия заказчиков с начальной (максимальной) ценой контракта пять миллионов рублей и более, жалобы признаны обоснованными в 11 случаях. </w:t>
      </w:r>
    </w:p>
    <w:p w:rsidR="00621D50" w:rsidRPr="00991F7F" w:rsidRDefault="00621D50" w:rsidP="00621D50">
      <w:pPr>
        <w:ind w:firstLine="708"/>
        <w:jc w:val="both"/>
        <w:rPr>
          <w:sz w:val="28"/>
          <w:szCs w:val="28"/>
        </w:rPr>
      </w:pPr>
      <w:r w:rsidRPr="00991F7F">
        <w:rPr>
          <w:sz w:val="28"/>
          <w:szCs w:val="28"/>
        </w:rPr>
        <w:t xml:space="preserve">Таким образом, доля обоснованных жалоб в общем объеме закупок свыше 5 млн. руб. за 2016 год составила 1,5 % (за аналогичный период 2015 года – 1,7 %). </w:t>
      </w:r>
    </w:p>
    <w:p w:rsidR="0097293D" w:rsidRDefault="0097293D" w:rsidP="00A00A2E">
      <w:pPr>
        <w:jc w:val="right"/>
        <w:rPr>
          <w:sz w:val="28"/>
          <w:szCs w:val="28"/>
        </w:rPr>
      </w:pPr>
    </w:p>
    <w:p w:rsidR="0097293D" w:rsidRPr="003D63DC" w:rsidRDefault="0097293D" w:rsidP="00F00947">
      <w:pPr>
        <w:pStyle w:val="af9"/>
        <w:spacing w:before="0" w:beforeAutospacing="0" w:after="0"/>
        <w:ind w:left="72"/>
        <w:jc w:val="center"/>
        <w:textAlignment w:val="baseline"/>
        <w:rPr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3D63DC">
        <w:rPr>
          <w:b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Обжалование действий (бездействия) в органах, уполномоченных на осуществление контроля в сфере закупок</w:t>
      </w:r>
    </w:p>
    <w:p w:rsidR="00C41E89" w:rsidRDefault="00C41E89" w:rsidP="00F00947">
      <w:pPr>
        <w:jc w:val="both"/>
        <w:rPr>
          <w:b/>
          <w:i/>
          <w:sz w:val="28"/>
          <w:szCs w:val="28"/>
        </w:rPr>
      </w:pPr>
    </w:p>
    <w:p w:rsidR="00A00A2E" w:rsidRDefault="001105CC" w:rsidP="00BD240E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58D02851" wp14:editId="44A78591">
            <wp:simplePos x="0" y="0"/>
            <wp:positionH relativeFrom="column">
              <wp:posOffset>2464435</wp:posOffset>
            </wp:positionH>
            <wp:positionV relativeFrom="paragraph">
              <wp:posOffset>64135</wp:posOffset>
            </wp:positionV>
            <wp:extent cx="4089400" cy="3623945"/>
            <wp:effectExtent l="0" t="0" r="635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0A2E" w:rsidRPr="00A00A2E">
        <w:rPr>
          <w:sz w:val="28"/>
          <w:szCs w:val="28"/>
        </w:rPr>
        <w:t xml:space="preserve">Таким образом, благодаря проводимому Департаментом </w:t>
      </w:r>
      <w:proofErr w:type="spellStart"/>
      <w:r w:rsidR="00A00A2E" w:rsidRPr="00A00A2E">
        <w:rPr>
          <w:sz w:val="28"/>
          <w:szCs w:val="28"/>
        </w:rPr>
        <w:t>госзакупок</w:t>
      </w:r>
      <w:proofErr w:type="spellEnd"/>
      <w:r w:rsidR="00A00A2E" w:rsidRPr="00A00A2E">
        <w:rPr>
          <w:sz w:val="28"/>
          <w:szCs w:val="28"/>
        </w:rPr>
        <w:t xml:space="preserve"> Свердловской области предварительному анализу поступающих от заказчиков Свердловской области заявок на предмет их соответствия требованиям законодательства в сфере закупок удалось сократить количество выявляемых контрольными органами нарушений </w:t>
      </w:r>
      <w:r w:rsidR="00A00A2E">
        <w:rPr>
          <w:sz w:val="28"/>
          <w:szCs w:val="28"/>
        </w:rPr>
        <w:t xml:space="preserve">в сфере закупок, что позволяет сократить временные и финансовые затраты на проведение процедур закупок, </w:t>
      </w:r>
      <w:r w:rsidR="001F0E61">
        <w:rPr>
          <w:sz w:val="28"/>
          <w:szCs w:val="28"/>
        </w:rPr>
        <w:t xml:space="preserve">повысить </w:t>
      </w:r>
      <w:r w:rsidR="00A00A2E">
        <w:rPr>
          <w:sz w:val="28"/>
          <w:szCs w:val="28"/>
        </w:rPr>
        <w:t>эффективно</w:t>
      </w:r>
      <w:r w:rsidR="001F0E61">
        <w:rPr>
          <w:sz w:val="28"/>
          <w:szCs w:val="28"/>
        </w:rPr>
        <w:t>сть расходования бюджетных средств.</w:t>
      </w:r>
      <w:r w:rsidR="00A00A2E">
        <w:rPr>
          <w:sz w:val="28"/>
          <w:szCs w:val="28"/>
        </w:rPr>
        <w:t xml:space="preserve"> </w:t>
      </w:r>
      <w:proofErr w:type="gramEnd"/>
    </w:p>
    <w:p w:rsidR="00C53BD1" w:rsidRPr="00A00A2E" w:rsidRDefault="00C53BD1" w:rsidP="00BD240E">
      <w:pPr>
        <w:ind w:firstLine="708"/>
        <w:jc w:val="both"/>
        <w:rPr>
          <w:sz w:val="28"/>
          <w:szCs w:val="28"/>
        </w:rPr>
      </w:pPr>
    </w:p>
    <w:p w:rsidR="00C27E57" w:rsidRDefault="00C27E57" w:rsidP="00743D1D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43D1D" w:rsidRPr="00145A2F" w:rsidRDefault="006A48E5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45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2. </w:t>
      </w:r>
      <w:r w:rsidR="007E6675" w:rsidRPr="00145A2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Совместные </w:t>
      </w:r>
      <w:r w:rsidR="005A3D95" w:rsidRPr="00145A2F">
        <w:rPr>
          <w:rFonts w:ascii="Times New Roman" w:hAnsi="Times New Roman" w:cs="Times New Roman"/>
          <w:i/>
          <w:color w:val="auto"/>
          <w:sz w:val="28"/>
          <w:szCs w:val="28"/>
        </w:rPr>
        <w:t>торги</w:t>
      </w:r>
    </w:p>
    <w:p w:rsidR="00743D1D" w:rsidRPr="00A97AD7" w:rsidRDefault="00743D1D" w:rsidP="00743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D7">
        <w:rPr>
          <w:sz w:val="28"/>
          <w:szCs w:val="28"/>
        </w:rPr>
        <w:t xml:space="preserve">Совместные торги представляют собой эффективный способ централизации закупок путём сокращения количества процедур, повышения эффективности расходования бюджетных средств и обеспечение «прозрачности» торгов. </w:t>
      </w:r>
    </w:p>
    <w:p w:rsidR="00743D1D" w:rsidRPr="00A97AD7" w:rsidRDefault="00743D1D" w:rsidP="00743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D7">
        <w:rPr>
          <w:sz w:val="28"/>
          <w:szCs w:val="28"/>
        </w:rPr>
        <w:lastRenderedPageBreak/>
        <w:t xml:space="preserve">Согласно статье 25 «Совместные конкурсы и аукционы» Закона </w:t>
      </w:r>
      <w:r w:rsidRPr="00A97AD7">
        <w:rPr>
          <w:sz w:val="28"/>
          <w:szCs w:val="28"/>
        </w:rPr>
        <w:br/>
        <w:t xml:space="preserve">о контрактной системе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Правила проведения совместных конкурсов и аукционов утверждены постановлением Правительства Российской Федерации от 28.11.2013 № 1088 «Об утверждении Правил проведения совместных конкурсов и аукционов» </w:t>
      </w:r>
      <w:r w:rsidRPr="00A97AD7">
        <w:rPr>
          <w:rFonts w:eastAsia="Calibri"/>
          <w:sz w:val="28"/>
          <w:szCs w:val="28"/>
        </w:rPr>
        <w:t>(далее – Правила проведения совместных торгов)</w:t>
      </w:r>
      <w:r w:rsidRPr="00A97AD7">
        <w:rPr>
          <w:sz w:val="28"/>
          <w:szCs w:val="28"/>
        </w:rPr>
        <w:t xml:space="preserve">. </w:t>
      </w:r>
      <w:proofErr w:type="gramStart"/>
      <w:r w:rsidRPr="00A97AD7">
        <w:rPr>
          <w:sz w:val="28"/>
          <w:szCs w:val="28"/>
        </w:rPr>
        <w:t xml:space="preserve">Организатором совместных конкурсов (аукционов) выступает уполномоченный орган, уполномоченное учреждение в случае наделения их полномочиями в соответствии со </w:t>
      </w:r>
      <w:hyperlink w:anchor="Par32" w:history="1">
        <w:r w:rsidRPr="00A97AD7">
          <w:rPr>
            <w:sz w:val="28"/>
            <w:szCs w:val="28"/>
          </w:rPr>
          <w:t>статьёй 26</w:t>
        </w:r>
      </w:hyperlink>
      <w:r w:rsidRPr="00A97AD7">
        <w:rPr>
          <w:sz w:val="28"/>
          <w:szCs w:val="28"/>
        </w:rPr>
        <w:t xml:space="preserve"> Закона о контрактной системе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совместного конкурса (аукциона). </w:t>
      </w:r>
      <w:proofErr w:type="gramEnd"/>
    </w:p>
    <w:p w:rsidR="00743D1D" w:rsidRPr="00A97AD7" w:rsidRDefault="003010DF" w:rsidP="00743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2CE547EF" wp14:editId="73056972">
            <wp:simplePos x="0" y="0"/>
            <wp:positionH relativeFrom="column">
              <wp:posOffset>2430780</wp:posOffset>
            </wp:positionH>
            <wp:positionV relativeFrom="paragraph">
              <wp:posOffset>819150</wp:posOffset>
            </wp:positionV>
            <wp:extent cx="3982085" cy="4081145"/>
            <wp:effectExtent l="0" t="0" r="0" b="0"/>
            <wp:wrapSquare wrapText="bothSides"/>
            <wp:docPr id="20" name="Рисунок 20" descr="C:\Users\iskakov\Desktop\k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kakov\Desktop\karta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1D" w:rsidRPr="00A97AD7">
        <w:rPr>
          <w:sz w:val="28"/>
          <w:szCs w:val="28"/>
        </w:rPr>
        <w:t xml:space="preserve">В целях организации проведения совместных конкурсов и аукционов Департаментом </w:t>
      </w:r>
      <w:proofErr w:type="spellStart"/>
      <w:r w:rsidR="00743D1D" w:rsidRPr="00A97AD7">
        <w:rPr>
          <w:sz w:val="28"/>
          <w:szCs w:val="28"/>
        </w:rPr>
        <w:t>госзакупок</w:t>
      </w:r>
      <w:proofErr w:type="spellEnd"/>
      <w:r w:rsidR="00743D1D" w:rsidRPr="00A97AD7">
        <w:rPr>
          <w:sz w:val="28"/>
          <w:szCs w:val="28"/>
        </w:rPr>
        <w:t xml:space="preserve"> Свердловской области разработана и доведена до сведения заказчиков примерная форма соглашения о проведении совместных конкурсов (аукционов) при осуществлении закупок одних и тех же товаров, работ, услуг.</w:t>
      </w:r>
      <w:r w:rsidRPr="003010DF">
        <w:rPr>
          <w:bCs/>
          <w:iCs/>
          <w:noProof/>
          <w:sz w:val="28"/>
          <w:szCs w:val="28"/>
        </w:rPr>
        <w:t xml:space="preserve"> </w:t>
      </w:r>
    </w:p>
    <w:p w:rsidR="00743D1D" w:rsidRPr="00A97AD7" w:rsidRDefault="00743D1D" w:rsidP="00743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D7">
        <w:rPr>
          <w:sz w:val="28"/>
          <w:szCs w:val="28"/>
        </w:rPr>
        <w:t xml:space="preserve">В период с 01.01.2016 г. по 31.12.2016 г. в Департамент </w:t>
      </w:r>
      <w:proofErr w:type="spellStart"/>
      <w:r w:rsidRPr="00A97AD7">
        <w:rPr>
          <w:sz w:val="28"/>
          <w:szCs w:val="28"/>
        </w:rPr>
        <w:t>госзакупок</w:t>
      </w:r>
      <w:proofErr w:type="spellEnd"/>
      <w:r w:rsidRPr="00A97AD7">
        <w:rPr>
          <w:sz w:val="28"/>
          <w:szCs w:val="28"/>
        </w:rPr>
        <w:t xml:space="preserve"> Свердловской области для проведения совместных торгов поступило </w:t>
      </w:r>
      <w:r w:rsidRPr="006520F2">
        <w:rPr>
          <w:b/>
          <w:i/>
          <w:sz w:val="28"/>
          <w:szCs w:val="28"/>
        </w:rPr>
        <w:t>295</w:t>
      </w:r>
      <w:r w:rsidRPr="00A97AD7">
        <w:rPr>
          <w:sz w:val="28"/>
          <w:szCs w:val="28"/>
        </w:rPr>
        <w:t xml:space="preserve"> заявок или </w:t>
      </w:r>
      <w:r w:rsidRPr="006520F2">
        <w:rPr>
          <w:b/>
          <w:i/>
          <w:sz w:val="28"/>
          <w:szCs w:val="28"/>
        </w:rPr>
        <w:t>11 %</w:t>
      </w:r>
      <w:r w:rsidRPr="00A97AD7">
        <w:rPr>
          <w:sz w:val="28"/>
          <w:szCs w:val="28"/>
        </w:rPr>
        <w:t xml:space="preserve"> от общего количества поступивших заявок на сумму </w:t>
      </w:r>
      <w:r w:rsidRPr="006520F2">
        <w:rPr>
          <w:b/>
          <w:i/>
          <w:sz w:val="28"/>
          <w:szCs w:val="28"/>
        </w:rPr>
        <w:t>271,9</w:t>
      </w:r>
      <w:r w:rsidRPr="00A97AD7">
        <w:rPr>
          <w:sz w:val="28"/>
          <w:szCs w:val="28"/>
        </w:rPr>
        <w:t xml:space="preserve"> </w:t>
      </w:r>
      <w:r w:rsidRPr="006520F2">
        <w:rPr>
          <w:b/>
          <w:i/>
          <w:sz w:val="28"/>
          <w:szCs w:val="28"/>
        </w:rPr>
        <w:t>млн. руб.</w:t>
      </w:r>
      <w:r w:rsidRPr="00A97AD7">
        <w:rPr>
          <w:sz w:val="28"/>
          <w:szCs w:val="28"/>
        </w:rPr>
        <w:t xml:space="preserve"> (за аналогичный период 2015 года – 1436 заявок на сумму 683,1 млн. руб. или 37,9 % соответственно).</w:t>
      </w:r>
    </w:p>
    <w:p w:rsidR="00743D1D" w:rsidRPr="00A97AD7" w:rsidRDefault="003010DF" w:rsidP="00743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1AB4183" wp14:editId="11FD0540">
                <wp:simplePos x="0" y="0"/>
                <wp:positionH relativeFrom="margin">
                  <wp:posOffset>3561080</wp:posOffset>
                </wp:positionH>
                <wp:positionV relativeFrom="paragraph">
                  <wp:posOffset>688340</wp:posOffset>
                </wp:positionV>
                <wp:extent cx="1047750" cy="238125"/>
                <wp:effectExtent l="0" t="0" r="1905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7021" w:rsidRDefault="00377021" w:rsidP="003010DF">
                            <w:r w:rsidRPr="00205706">
                              <w:rPr>
                                <w:b/>
                                <w:sz w:val="20"/>
                                <w:szCs w:val="20"/>
                              </w:rPr>
                              <w:t>Екатерин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бург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280.4pt;margin-top:54.2pt;width:82.5pt;height:18.7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" fillcolor="#dbeef4" strokeweight=".5pt">
                <v:textbox>
                  <w:txbxContent>
                    <w:p w:rsidR="00377021" w:rsidRDefault="00377021" w:rsidP="003010DF">
                      <w:r w:rsidRPr="00205706">
                        <w:rPr>
                          <w:b/>
                          <w:sz w:val="20"/>
                          <w:szCs w:val="20"/>
                        </w:rPr>
                        <w:t>Екатерин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бург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D1D" w:rsidRPr="00A97AD7">
        <w:rPr>
          <w:sz w:val="28"/>
          <w:szCs w:val="28"/>
        </w:rPr>
        <w:t>Также, в 2016 году проведены 30 </w:t>
      </w:r>
      <w:r w:rsidR="00743D1D" w:rsidRPr="00A97AD7">
        <w:rPr>
          <w:bCs/>
          <w:iCs/>
          <w:sz w:val="28"/>
          <w:szCs w:val="28"/>
        </w:rPr>
        <w:t xml:space="preserve">совместных аукционов на поставку лекарственных препаратов для нужд подведомственных Министерству </w:t>
      </w:r>
      <w:r w:rsidR="00743D1D" w:rsidRPr="00A97AD7">
        <w:rPr>
          <w:color w:val="000000" w:themeColor="text1"/>
          <w:sz w:val="28"/>
          <w:szCs w:val="28"/>
        </w:rPr>
        <w:t>здравоохранения Свердловской области учреждений</w:t>
      </w:r>
      <w:r w:rsidR="00743D1D" w:rsidRPr="00A97AD7">
        <w:rPr>
          <w:sz w:val="28"/>
          <w:szCs w:val="28"/>
        </w:rPr>
        <w:t xml:space="preserve"> поступившие в декабре 2015 года</w:t>
      </w:r>
      <w:r w:rsidR="00743D1D" w:rsidRPr="00A97AD7">
        <w:rPr>
          <w:color w:val="000000" w:themeColor="text1"/>
          <w:sz w:val="28"/>
          <w:szCs w:val="28"/>
        </w:rPr>
        <w:t xml:space="preserve"> </w:t>
      </w:r>
      <w:r w:rsidR="00743D1D" w:rsidRPr="00A97AD7">
        <w:rPr>
          <w:bCs/>
          <w:iCs/>
          <w:sz w:val="28"/>
          <w:szCs w:val="28"/>
        </w:rPr>
        <w:t>с общей начальной (максимальной) ценой контрактов 362,6 млн. руб.</w:t>
      </w:r>
      <w:r w:rsidR="00743D1D" w:rsidRPr="00A97AD7">
        <w:rPr>
          <w:color w:val="000000" w:themeColor="text1"/>
          <w:sz w:val="28"/>
          <w:szCs w:val="28"/>
        </w:rPr>
        <w:t xml:space="preserve"> </w:t>
      </w:r>
    </w:p>
    <w:p w:rsidR="00743D1D" w:rsidRPr="00A97AD7" w:rsidRDefault="00743D1D" w:rsidP="00743D1D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A97AD7">
        <w:rPr>
          <w:bCs/>
          <w:iCs/>
          <w:sz w:val="28"/>
          <w:szCs w:val="28"/>
        </w:rPr>
        <w:t xml:space="preserve">По состоянию на 31.12.2016 г. проведено </w:t>
      </w:r>
      <w:r w:rsidRPr="006520F2">
        <w:rPr>
          <w:b/>
          <w:bCs/>
          <w:i/>
          <w:iCs/>
          <w:sz w:val="28"/>
          <w:szCs w:val="28"/>
        </w:rPr>
        <w:t xml:space="preserve">38 </w:t>
      </w:r>
      <w:r w:rsidRPr="00A97AD7">
        <w:rPr>
          <w:bCs/>
          <w:iCs/>
          <w:sz w:val="28"/>
          <w:szCs w:val="28"/>
        </w:rPr>
        <w:t>совместных аукционов по поставке нефтепродуктов, лекарственных препаратов и оказанию услуг по изготовлению видеосюжетов о детях-сиротах и детях, оставшихся без попечения родителей, нуждающихся в семейном устройстве, находящихся на учете в региональном банке данных о детях, оставшихся без попечения родителей, в Свердловской области с общей начальной (максимальной)</w:t>
      </w:r>
      <w:r w:rsidR="003010DF" w:rsidRPr="003010DF">
        <w:rPr>
          <w:bCs/>
          <w:iCs/>
          <w:noProof/>
          <w:sz w:val="28"/>
          <w:szCs w:val="28"/>
        </w:rPr>
        <w:t xml:space="preserve"> </w:t>
      </w:r>
      <w:r w:rsidRPr="00A97AD7">
        <w:rPr>
          <w:bCs/>
          <w:iCs/>
          <w:sz w:val="28"/>
          <w:szCs w:val="28"/>
        </w:rPr>
        <w:t xml:space="preserve"> ценой контрактов </w:t>
      </w:r>
      <w:r w:rsidRPr="00A97AD7">
        <w:rPr>
          <w:bCs/>
          <w:iCs/>
          <w:sz w:val="28"/>
          <w:szCs w:val="28"/>
        </w:rPr>
        <w:lastRenderedPageBreak/>
        <w:t>271,9 млн. руб. (за аналогичный период</w:t>
      </w:r>
      <w:proofErr w:type="gramEnd"/>
      <w:r w:rsidRPr="00A97AD7">
        <w:rPr>
          <w:bCs/>
          <w:iCs/>
          <w:sz w:val="28"/>
          <w:szCs w:val="28"/>
        </w:rPr>
        <w:t xml:space="preserve"> </w:t>
      </w:r>
      <w:proofErr w:type="gramStart"/>
      <w:r w:rsidRPr="00A97AD7">
        <w:rPr>
          <w:bCs/>
          <w:iCs/>
          <w:sz w:val="28"/>
          <w:szCs w:val="28"/>
        </w:rPr>
        <w:t>2015 года – проведен 32 совместных аукциона на сумму 341,6 млн. руб.).</w:t>
      </w:r>
      <w:proofErr w:type="gramEnd"/>
    </w:p>
    <w:p w:rsidR="00743D1D" w:rsidRPr="00A97AD7" w:rsidRDefault="00743D1D" w:rsidP="00743D1D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u w:val="single"/>
        </w:rPr>
      </w:pPr>
    </w:p>
    <w:p w:rsidR="00097A8D" w:rsidRPr="00F75DDE" w:rsidRDefault="00097A8D" w:rsidP="00307ED6">
      <w:pPr>
        <w:pStyle w:val="ae"/>
        <w:ind w:left="0" w:firstLine="709"/>
        <w:jc w:val="both"/>
        <w:rPr>
          <w:b/>
          <w:i/>
          <w:sz w:val="28"/>
          <w:szCs w:val="28"/>
          <w:highlight w:val="green"/>
        </w:rPr>
      </w:pPr>
    </w:p>
    <w:p w:rsidR="00307ED6" w:rsidRPr="00403864" w:rsidRDefault="00307ED6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038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777450" w:rsidRPr="00403864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Pr="00403864">
        <w:rPr>
          <w:rFonts w:ascii="Times New Roman" w:hAnsi="Times New Roman" w:cs="Times New Roman"/>
          <w:i/>
          <w:color w:val="auto"/>
          <w:sz w:val="28"/>
          <w:szCs w:val="28"/>
        </w:rPr>
        <w:t>. Нормативно-правовое регулирование в сфе</w:t>
      </w:r>
      <w:r w:rsidR="00403864">
        <w:rPr>
          <w:rFonts w:ascii="Times New Roman" w:hAnsi="Times New Roman" w:cs="Times New Roman"/>
          <w:i/>
          <w:color w:val="auto"/>
          <w:sz w:val="28"/>
          <w:szCs w:val="28"/>
        </w:rPr>
        <w:t>ре закупок Свердловской области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В </w:t>
      </w:r>
      <w:r w:rsidRPr="00A71C78">
        <w:rPr>
          <w:b/>
          <w:i/>
          <w:sz w:val="28"/>
          <w:szCs w:val="28"/>
        </w:rPr>
        <w:t xml:space="preserve">2016 </w:t>
      </w:r>
      <w:r w:rsidRPr="002E73EE">
        <w:rPr>
          <w:sz w:val="28"/>
          <w:szCs w:val="28"/>
        </w:rPr>
        <w:t>году руководствуясь п.3 ст.2 Закона о контрактной системе Департамент</w:t>
      </w:r>
      <w:r w:rsidR="00403864">
        <w:rPr>
          <w:sz w:val="28"/>
          <w:szCs w:val="28"/>
        </w:rPr>
        <w:t xml:space="preserve"> </w:t>
      </w:r>
      <w:proofErr w:type="spellStart"/>
      <w:r w:rsidR="00403864">
        <w:rPr>
          <w:sz w:val="28"/>
          <w:szCs w:val="28"/>
        </w:rPr>
        <w:t>госзакупок</w:t>
      </w:r>
      <w:proofErr w:type="spellEnd"/>
      <w:r w:rsidR="00403864">
        <w:rPr>
          <w:sz w:val="28"/>
          <w:szCs w:val="28"/>
        </w:rPr>
        <w:t xml:space="preserve"> Свердловской области</w:t>
      </w:r>
      <w:r w:rsidRPr="002E73EE">
        <w:rPr>
          <w:sz w:val="28"/>
          <w:szCs w:val="28"/>
        </w:rPr>
        <w:t xml:space="preserve">, как регулятор контрактной системы в Свердловской области, разработал, а Правительство Свердловской области приняло 11 нормативных правовых актов Свердловской области: 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04.02.2016 </w:t>
      </w:r>
      <w:r w:rsidRPr="002E73EE">
        <w:rPr>
          <w:sz w:val="28"/>
          <w:szCs w:val="28"/>
        </w:rPr>
        <w:br/>
        <w:t>№ 69-ПП «Об утверждении Требований к порядку разработки и принятия правовых актов о нормировании в сфере закупок для обеспечения нужд Свердловской области, содержанию указанных актов и обеспечению их исполнения»;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proofErr w:type="gramStart"/>
      <w:r w:rsidRPr="002E73EE">
        <w:rPr>
          <w:sz w:val="28"/>
          <w:szCs w:val="28"/>
        </w:rPr>
        <w:t xml:space="preserve">– постановление Правительства Свердловской области от 02.03.2016 </w:t>
      </w:r>
      <w:r w:rsidRPr="002E73EE">
        <w:rPr>
          <w:sz w:val="28"/>
          <w:szCs w:val="28"/>
        </w:rPr>
        <w:br/>
        <w:t>№ 145-ПП «Об организации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мониторинга соответствия таких планов, изменений, внесенных в такие планы, годовых отчетов требованиям законодательства Российской Федерации, предусматривающим участие субъектов малого и среднего предпринимательства в закупке»;</w:t>
      </w:r>
      <w:proofErr w:type="gramEnd"/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13.05.2016 </w:t>
      </w:r>
      <w:r w:rsidRPr="002E73EE">
        <w:rPr>
          <w:sz w:val="28"/>
          <w:szCs w:val="28"/>
        </w:rPr>
        <w:br/>
        <w:t>№ 326-ПП «О внесении изменений в Требования к порядку разработки и принятия правовых актов о нормировании в сфере закупок для обеспечения нужд Свердловской области, содержанию указанных актов и обеспечению их исполнения, утвержденные постановлением Правительства Свердловской области от 04.02.2016 № 69-ПП»;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24.06.2016 </w:t>
      </w:r>
      <w:r w:rsidRPr="002E73EE">
        <w:rPr>
          <w:sz w:val="28"/>
          <w:szCs w:val="28"/>
        </w:rPr>
        <w:br/>
        <w:t>№ 449-ПП «О внесении изменений в постановление Правительства Свердловской области от 26.04.2010 № 673-ПП «Об утверждении Положения, структуры и предельного лимита штатной численности и фонда по должностным окладам в месяц Департамента государственных закупок Свердловской области»;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proofErr w:type="gramStart"/>
      <w:r w:rsidRPr="002E73EE">
        <w:rPr>
          <w:sz w:val="28"/>
          <w:szCs w:val="28"/>
        </w:rPr>
        <w:t xml:space="preserve">– постановление Правительства Свердловской области от 13.05.2016 </w:t>
      </w:r>
      <w:r w:rsidRPr="002E73EE">
        <w:rPr>
          <w:sz w:val="28"/>
          <w:szCs w:val="28"/>
        </w:rPr>
        <w:br/>
        <w:t>№ 337-ПП «Об установлении размера начальной (максимальной) цены контракта при осуществлении закупки лекарственных препаратов, которые включены в перечень жизненно необходимых и важнейших лекарственных препаратов для нужд Свердловской области и муниципальных нужд муниципальных образований, расположенных на территории Свердловской области, при превышении которой осуществляется отстранение участника закупки от участия в определении поставщика (подрядчика, исполнителя) или отказ от</w:t>
      </w:r>
      <w:proofErr w:type="gramEnd"/>
      <w:r w:rsidRPr="002E73EE">
        <w:rPr>
          <w:sz w:val="28"/>
          <w:szCs w:val="28"/>
        </w:rPr>
        <w:t xml:space="preserve"> заключения контракта с победителем определения поставщика (подрядчика, исполнителя)»;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lastRenderedPageBreak/>
        <w:t xml:space="preserve">– постановление Правительства Свердловской области от 13.05.2016 </w:t>
      </w:r>
      <w:r w:rsidRPr="002E73EE">
        <w:rPr>
          <w:sz w:val="28"/>
          <w:szCs w:val="28"/>
        </w:rPr>
        <w:br/>
        <w:t>№ 334-ПП «Об утверждении Правил определения нормативных затрат на обеспечение функций государственных органов Свердловской области, Территориального фонда обязательного медицинского страхования Свердловской области, включая соответственно территориальные органы и подведомственные казенные учреждения»;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proofErr w:type="gramStart"/>
      <w:r w:rsidRPr="002E73EE">
        <w:rPr>
          <w:sz w:val="28"/>
          <w:szCs w:val="28"/>
        </w:rPr>
        <w:t xml:space="preserve">– постановление Правительства Свердловской области от 13.05.2016 </w:t>
      </w:r>
      <w:r w:rsidRPr="002E73EE">
        <w:rPr>
          <w:sz w:val="28"/>
          <w:szCs w:val="28"/>
        </w:rPr>
        <w:br/>
        <w:t>№ 333-ПП «Об утверждении Правил определения требований к закупаемым государственными органами Свердловской области, Территориальным фондом обязательного медицинского страхования Свердловской области,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  <w:proofErr w:type="gramEnd"/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09.08.2016 </w:t>
      </w:r>
      <w:r w:rsidRPr="002E73EE">
        <w:rPr>
          <w:sz w:val="28"/>
          <w:szCs w:val="28"/>
        </w:rPr>
        <w:br/>
        <w:t>№ 556-ПП «О внесении изменений в Порядок проведения обязательного общественного обсуждения закупок товаров, работ, услуг для обеспечения нужд Свердловской области, утвержденный постановлением Правительства Свердловской области от 03.02.2015 № 72-ПП»;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12.09.2016 </w:t>
      </w:r>
      <w:r w:rsidRPr="002E73EE">
        <w:rPr>
          <w:sz w:val="28"/>
          <w:szCs w:val="28"/>
        </w:rPr>
        <w:br/>
        <w:t>№ 638-ПП «О внесении изменений в Положение о Департаменте государственных закупок Свердловской области, утвержденное постановлением Правительства Свердловской области от 26.04.2010 № 673-ПП»;</w:t>
      </w:r>
    </w:p>
    <w:p w:rsidR="00F75DDE" w:rsidRPr="002E73E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09.11.2016 </w:t>
      </w:r>
      <w:r w:rsidRPr="002E73EE">
        <w:rPr>
          <w:sz w:val="28"/>
          <w:szCs w:val="28"/>
        </w:rPr>
        <w:br/>
        <w:t>№ 803-ПП «Об утверждении Порядка разработки типовых контрактов, типовых условий контрактов для обеспечения нужд Свердловской области».</w:t>
      </w:r>
    </w:p>
    <w:p w:rsidR="00F75DDE" w:rsidRDefault="00F75DDE" w:rsidP="00F75DDE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– постановление Правительства Свердловской области от 29.12.2016 </w:t>
      </w:r>
      <w:r w:rsidRPr="002E73EE">
        <w:rPr>
          <w:sz w:val="28"/>
          <w:szCs w:val="28"/>
        </w:rPr>
        <w:br/>
        <w:t>№ 987-ПП «О внесении изменений в постановление Правительства Свердловской области от 21.10.2013 № 1274-ПП «Об утверждении государственной программы Свердловской области "Совершенствование механизмов осуществления закупок товаров, работ, услуг для государственных нужд Свердловской области до 2020 года».</w:t>
      </w:r>
    </w:p>
    <w:p w:rsidR="00307ED6" w:rsidRDefault="00307ED6" w:rsidP="007E6675">
      <w:pPr>
        <w:ind w:firstLine="709"/>
        <w:jc w:val="both"/>
        <w:rPr>
          <w:b/>
          <w:i/>
          <w:sz w:val="28"/>
          <w:szCs w:val="28"/>
        </w:rPr>
      </w:pPr>
    </w:p>
    <w:p w:rsidR="00156921" w:rsidRPr="00FE368F" w:rsidRDefault="00156921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E36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567E17" w:rsidRPr="00FE368F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="007E6675" w:rsidRPr="00FE368F">
        <w:rPr>
          <w:rFonts w:ascii="Times New Roman" w:hAnsi="Times New Roman" w:cs="Times New Roman"/>
          <w:i/>
          <w:color w:val="auto"/>
          <w:sz w:val="28"/>
          <w:szCs w:val="28"/>
        </w:rPr>
        <w:t>. Методическое обеспечение в сфере закупок</w:t>
      </w:r>
    </w:p>
    <w:p w:rsidR="00887D00" w:rsidRDefault="00887D00" w:rsidP="00D07987">
      <w:pPr>
        <w:ind w:firstLine="709"/>
        <w:jc w:val="center"/>
        <w:rPr>
          <w:iCs/>
          <w:sz w:val="28"/>
          <w:szCs w:val="28"/>
        </w:rPr>
      </w:pPr>
    </w:p>
    <w:p w:rsidR="007E67E7" w:rsidRDefault="006E03AA" w:rsidP="000078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2016 году для удобства и упрощения составления необходимой документации принят приказ Департамента гос</w:t>
      </w:r>
      <w:r w:rsidR="00094F8E">
        <w:rPr>
          <w:sz w:val="28"/>
          <w:szCs w:val="28"/>
        </w:rPr>
        <w:t xml:space="preserve">ударственных </w:t>
      </w:r>
      <w:r>
        <w:rPr>
          <w:sz w:val="28"/>
          <w:szCs w:val="28"/>
        </w:rPr>
        <w:t>закупок Свердловской области от 28.07.2016 г. № 93-ОД «Об утверждении примерных формы документации об аукционе в электронном форме и конкурсной документации», а именно примерная форма документации об аукционе в электронном форме и примерная форма конкурсной документации  для закупок</w:t>
      </w:r>
      <w:r w:rsidR="0046730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осуществляемых через Департамент </w:t>
      </w:r>
      <w:proofErr w:type="spellStart"/>
      <w:r>
        <w:rPr>
          <w:sz w:val="28"/>
          <w:szCs w:val="28"/>
        </w:rPr>
        <w:t>госзакупок</w:t>
      </w:r>
      <w:proofErr w:type="spellEnd"/>
      <w:r>
        <w:rPr>
          <w:sz w:val="28"/>
          <w:szCs w:val="28"/>
        </w:rPr>
        <w:t xml:space="preserve"> Свердловской области.</w:t>
      </w:r>
      <w:proofErr w:type="gramEnd"/>
    </w:p>
    <w:p w:rsidR="000078FB" w:rsidRPr="00BD6FDC" w:rsidRDefault="001A74E3" w:rsidP="00007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78FB" w:rsidRPr="00BD6FDC">
        <w:rPr>
          <w:sz w:val="28"/>
          <w:szCs w:val="28"/>
        </w:rPr>
        <w:t xml:space="preserve">рамках оказания методической помощи Департаментом </w:t>
      </w:r>
      <w:proofErr w:type="spellStart"/>
      <w:r w:rsidR="000078FB" w:rsidRPr="00BD6FDC">
        <w:rPr>
          <w:sz w:val="28"/>
          <w:szCs w:val="28"/>
        </w:rPr>
        <w:t>госзакупок</w:t>
      </w:r>
      <w:proofErr w:type="spellEnd"/>
      <w:r w:rsidR="000078FB" w:rsidRPr="00BD6FDC">
        <w:rPr>
          <w:sz w:val="28"/>
          <w:szCs w:val="28"/>
        </w:rPr>
        <w:t xml:space="preserve"> Свердловской области в адрес заказчиков направлено </w:t>
      </w:r>
      <w:r w:rsidR="00FE3EEB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28</w:t>
      </w:r>
      <w:r w:rsidR="000078FB" w:rsidRPr="00BD6FDC">
        <w:rPr>
          <w:b/>
          <w:i/>
          <w:sz w:val="28"/>
          <w:szCs w:val="28"/>
        </w:rPr>
        <w:t xml:space="preserve"> </w:t>
      </w:r>
      <w:r w:rsidR="000078FB">
        <w:rPr>
          <w:sz w:val="28"/>
          <w:szCs w:val="28"/>
        </w:rPr>
        <w:t>информационных пис</w:t>
      </w:r>
      <w:r w:rsidR="00102178">
        <w:rPr>
          <w:sz w:val="28"/>
          <w:szCs w:val="28"/>
        </w:rPr>
        <w:t>ем</w:t>
      </w:r>
      <w:r w:rsidR="000078FB" w:rsidRPr="00BD6FDC">
        <w:rPr>
          <w:sz w:val="28"/>
          <w:szCs w:val="28"/>
        </w:rPr>
        <w:t xml:space="preserve"> с разъяснением норм законодательства</w:t>
      </w:r>
      <w:r w:rsidR="00467305">
        <w:rPr>
          <w:sz w:val="28"/>
          <w:szCs w:val="28"/>
        </w:rPr>
        <w:t xml:space="preserve"> </w:t>
      </w:r>
      <w:r w:rsidR="000078FB" w:rsidRPr="00BD6FDC">
        <w:rPr>
          <w:sz w:val="28"/>
          <w:szCs w:val="28"/>
        </w:rPr>
        <w:t>о контрактной системе</w:t>
      </w:r>
      <w:r>
        <w:rPr>
          <w:sz w:val="28"/>
          <w:szCs w:val="28"/>
        </w:rPr>
        <w:t>.</w:t>
      </w:r>
    </w:p>
    <w:p w:rsidR="000078FB" w:rsidRPr="002E73EE" w:rsidRDefault="000078FB" w:rsidP="000078FB">
      <w:pPr>
        <w:ind w:firstLine="709"/>
        <w:jc w:val="both"/>
        <w:rPr>
          <w:sz w:val="28"/>
          <w:szCs w:val="28"/>
        </w:rPr>
      </w:pPr>
      <w:proofErr w:type="gramStart"/>
      <w:r w:rsidRPr="002E73EE">
        <w:rPr>
          <w:sz w:val="28"/>
          <w:szCs w:val="28"/>
        </w:rPr>
        <w:lastRenderedPageBreak/>
        <w:t xml:space="preserve">В целях повышения профессионального уровня специалистов государственных и муниципальных заказчиков Свердловской области в 2016 году Департаментом </w:t>
      </w:r>
      <w:proofErr w:type="spellStart"/>
      <w:r w:rsidRPr="002E73EE">
        <w:rPr>
          <w:sz w:val="28"/>
          <w:szCs w:val="28"/>
        </w:rPr>
        <w:t>госзакупок</w:t>
      </w:r>
      <w:proofErr w:type="spellEnd"/>
      <w:r w:rsidRPr="002E73EE">
        <w:rPr>
          <w:sz w:val="28"/>
          <w:szCs w:val="28"/>
        </w:rPr>
        <w:t xml:space="preserve"> Свердловской области проведено </w:t>
      </w:r>
      <w:r w:rsidRPr="005A6E07">
        <w:rPr>
          <w:b/>
          <w:i/>
          <w:sz w:val="28"/>
          <w:szCs w:val="28"/>
        </w:rPr>
        <w:t>10</w:t>
      </w:r>
      <w:r w:rsidRPr="002E73EE">
        <w:rPr>
          <w:sz w:val="28"/>
          <w:szCs w:val="28"/>
        </w:rPr>
        <w:t xml:space="preserve"> семинаров для государственных и муниципальных заказчиков, из них </w:t>
      </w:r>
      <w:r w:rsidRPr="005A6E07">
        <w:rPr>
          <w:b/>
          <w:i/>
          <w:sz w:val="28"/>
          <w:szCs w:val="28"/>
        </w:rPr>
        <w:t xml:space="preserve">6 </w:t>
      </w:r>
      <w:r w:rsidRPr="002E73EE">
        <w:rPr>
          <w:sz w:val="28"/>
          <w:szCs w:val="28"/>
        </w:rPr>
        <w:t>семинаров «О практике применения Федерального закона «О контрактной системе в сфере закупок товаров, работ, услуг для обеспечения государственных и муниципальных нужд», 3 семинара «О порядке работы в Информационной системе в</w:t>
      </w:r>
      <w:proofErr w:type="gramEnd"/>
      <w:r w:rsidRPr="002E73EE">
        <w:rPr>
          <w:sz w:val="28"/>
          <w:szCs w:val="28"/>
        </w:rPr>
        <w:t xml:space="preserve"> сфере закупок Свердловской области» и 1 семинар для государственных унитарных предприятий Свердловской области. В семинарах приняли участие </w:t>
      </w:r>
      <w:r w:rsidRPr="005A6E07">
        <w:rPr>
          <w:b/>
          <w:i/>
          <w:sz w:val="28"/>
          <w:szCs w:val="28"/>
        </w:rPr>
        <w:t>1356</w:t>
      </w:r>
      <w:r w:rsidRPr="002E73EE">
        <w:rPr>
          <w:sz w:val="28"/>
          <w:szCs w:val="28"/>
        </w:rPr>
        <w:t xml:space="preserve"> специалистов из них 1321 специалист от заказчиков Свердловской области и 35 специалистов государственных унитарных предприятий Свердловской области.</w:t>
      </w:r>
    </w:p>
    <w:p w:rsidR="000078FB" w:rsidRPr="00BD6FDC" w:rsidRDefault="000078FB" w:rsidP="000078FB">
      <w:pPr>
        <w:ind w:firstLine="709"/>
        <w:jc w:val="both"/>
        <w:rPr>
          <w:sz w:val="28"/>
          <w:szCs w:val="28"/>
        </w:rPr>
      </w:pPr>
      <w:r w:rsidRPr="00BD6FDC">
        <w:rPr>
          <w:sz w:val="28"/>
          <w:szCs w:val="28"/>
        </w:rPr>
        <w:t xml:space="preserve">В целях предупреждения заказчиками типичных ошибок при подготовке заявок на осуществление закупок Департаментом </w:t>
      </w:r>
      <w:proofErr w:type="spellStart"/>
      <w:r w:rsidRPr="00BD6FDC">
        <w:rPr>
          <w:sz w:val="28"/>
          <w:szCs w:val="28"/>
        </w:rPr>
        <w:t>госзакупок</w:t>
      </w:r>
      <w:proofErr w:type="spellEnd"/>
      <w:r w:rsidRPr="00BD6FDC">
        <w:rPr>
          <w:sz w:val="28"/>
          <w:szCs w:val="28"/>
        </w:rPr>
        <w:t xml:space="preserve"> Свердловской области дважды в месяц п</w:t>
      </w:r>
      <w:r>
        <w:rPr>
          <w:sz w:val="28"/>
          <w:szCs w:val="28"/>
        </w:rPr>
        <w:t xml:space="preserve">роводятся «Дни открытых дверей», в рамках которых проводится </w:t>
      </w:r>
      <w:r w:rsidRPr="00BD6FDC">
        <w:rPr>
          <w:sz w:val="28"/>
          <w:szCs w:val="28"/>
        </w:rPr>
        <w:t xml:space="preserve">консультирование представителей заказчиков по наиболее сложным вопросам </w:t>
      </w:r>
      <w:proofErr w:type="spellStart"/>
      <w:r w:rsidRPr="00BD6FDC">
        <w:rPr>
          <w:sz w:val="28"/>
          <w:szCs w:val="28"/>
        </w:rPr>
        <w:t>правоприменения</w:t>
      </w:r>
      <w:proofErr w:type="spellEnd"/>
      <w:r w:rsidRPr="00BD6FDC">
        <w:rPr>
          <w:sz w:val="28"/>
          <w:szCs w:val="28"/>
        </w:rPr>
        <w:t xml:space="preserve"> Закона о контрактной системе</w:t>
      </w:r>
      <w:r>
        <w:rPr>
          <w:sz w:val="28"/>
          <w:szCs w:val="28"/>
        </w:rPr>
        <w:t xml:space="preserve">. Консультируют представителей заказчиков </w:t>
      </w:r>
      <w:r w:rsidRPr="00BD6FDC">
        <w:rPr>
          <w:sz w:val="28"/>
          <w:szCs w:val="28"/>
        </w:rPr>
        <w:t xml:space="preserve">специалисты Департамента </w:t>
      </w:r>
      <w:proofErr w:type="spellStart"/>
      <w:r w:rsidRPr="00BD6FDC">
        <w:rPr>
          <w:sz w:val="28"/>
          <w:szCs w:val="28"/>
        </w:rPr>
        <w:t>госзакупок</w:t>
      </w:r>
      <w:proofErr w:type="spellEnd"/>
      <w:r w:rsidRPr="00BD6FDC">
        <w:rPr>
          <w:sz w:val="28"/>
          <w:szCs w:val="28"/>
        </w:rPr>
        <w:t xml:space="preserve"> Свердловской области, имеющие Сертификаты системы Добровольной сертификации в сфере закупок, подтверждающие их высокий профессиональный уровень.</w:t>
      </w:r>
    </w:p>
    <w:p w:rsidR="000078FB" w:rsidRPr="00BD6FDC" w:rsidRDefault="000078FB" w:rsidP="000078FB">
      <w:pPr>
        <w:ind w:firstLine="709"/>
        <w:jc w:val="both"/>
        <w:rPr>
          <w:sz w:val="28"/>
          <w:szCs w:val="28"/>
        </w:rPr>
      </w:pPr>
      <w:r w:rsidRPr="00BD6FDC">
        <w:rPr>
          <w:sz w:val="28"/>
          <w:szCs w:val="28"/>
        </w:rPr>
        <w:t xml:space="preserve">С мая 2014 года в Департаменте </w:t>
      </w:r>
      <w:proofErr w:type="spellStart"/>
      <w:r w:rsidRPr="00BD6FDC">
        <w:rPr>
          <w:sz w:val="28"/>
          <w:szCs w:val="28"/>
        </w:rPr>
        <w:t>госзакупок</w:t>
      </w:r>
      <w:proofErr w:type="spellEnd"/>
      <w:r w:rsidRPr="00BD6FDC">
        <w:rPr>
          <w:sz w:val="28"/>
          <w:szCs w:val="28"/>
        </w:rPr>
        <w:t xml:space="preserve"> Свердловской области организована работа ежедневной «горячей линии» для консультирования граждан и представителей заказчиков по вопросам применения законодательства </w:t>
      </w:r>
      <w:r w:rsidRPr="00BD6FDC">
        <w:rPr>
          <w:sz w:val="28"/>
          <w:szCs w:val="28"/>
        </w:rPr>
        <w:br/>
        <w:t xml:space="preserve">о контрактной системе. </w:t>
      </w:r>
    </w:p>
    <w:p w:rsidR="000078FB" w:rsidRPr="002E73EE" w:rsidRDefault="000078FB" w:rsidP="000078FB">
      <w:pPr>
        <w:ind w:firstLine="709"/>
        <w:jc w:val="both"/>
        <w:rPr>
          <w:sz w:val="28"/>
          <w:szCs w:val="28"/>
        </w:rPr>
      </w:pPr>
      <w:r w:rsidRPr="002E73EE">
        <w:rPr>
          <w:sz w:val="28"/>
          <w:szCs w:val="28"/>
        </w:rPr>
        <w:t xml:space="preserve">С мая 2014 года в Департаменте </w:t>
      </w:r>
      <w:proofErr w:type="spellStart"/>
      <w:r w:rsidRPr="002E73EE">
        <w:rPr>
          <w:sz w:val="28"/>
          <w:szCs w:val="28"/>
        </w:rPr>
        <w:t>госзакупок</w:t>
      </w:r>
      <w:proofErr w:type="spellEnd"/>
      <w:r w:rsidRPr="002E73EE">
        <w:rPr>
          <w:sz w:val="28"/>
          <w:szCs w:val="28"/>
        </w:rPr>
        <w:t xml:space="preserve"> Свердловской области организована работа ежедневной «горячей линии» для консультирования граждан и представителей заказчиков по вопросам применения законодательства </w:t>
      </w:r>
      <w:r w:rsidRPr="002E73EE">
        <w:rPr>
          <w:sz w:val="28"/>
          <w:szCs w:val="28"/>
        </w:rPr>
        <w:br/>
        <w:t xml:space="preserve">о контрактной системе. За 2016 год на «горячую линию» поступило </w:t>
      </w:r>
      <w:r w:rsidRPr="00A953A0">
        <w:rPr>
          <w:b/>
          <w:i/>
          <w:sz w:val="28"/>
          <w:szCs w:val="28"/>
        </w:rPr>
        <w:t>438</w:t>
      </w:r>
      <w:r w:rsidRPr="002E73EE">
        <w:rPr>
          <w:sz w:val="28"/>
          <w:szCs w:val="28"/>
        </w:rPr>
        <w:t xml:space="preserve"> звонков.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 xml:space="preserve">Осуществлялась работа ежедневной «горячей линии» для консультирования граждан и представителей заказчиков по вопросам применения законодательства о контрактной системе. За указанный период Департаментом были рассмотрены </w:t>
      </w:r>
      <w:r w:rsidRPr="00A953A0">
        <w:rPr>
          <w:b/>
          <w:i/>
          <w:sz w:val="28"/>
          <w:szCs w:val="28"/>
        </w:rPr>
        <w:t>50</w:t>
      </w:r>
      <w:r w:rsidRPr="00E47C79">
        <w:rPr>
          <w:sz w:val="28"/>
          <w:szCs w:val="28"/>
        </w:rPr>
        <w:t xml:space="preserve"> письменных и </w:t>
      </w:r>
      <w:r w:rsidRPr="00A953A0">
        <w:rPr>
          <w:b/>
          <w:i/>
          <w:sz w:val="28"/>
          <w:szCs w:val="28"/>
        </w:rPr>
        <w:t>438</w:t>
      </w:r>
      <w:r w:rsidRPr="00E47C79">
        <w:rPr>
          <w:sz w:val="28"/>
          <w:szCs w:val="28"/>
        </w:rPr>
        <w:t xml:space="preserve"> устных обращений граждан по вопросам применения законодательства о контрактной системе. 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 xml:space="preserve">В адрес государственных и муниципальных заказчиков Свердловской области направлены </w:t>
      </w:r>
      <w:r w:rsidRPr="00A953A0">
        <w:rPr>
          <w:b/>
          <w:i/>
          <w:sz w:val="28"/>
          <w:szCs w:val="28"/>
        </w:rPr>
        <w:t>12</w:t>
      </w:r>
      <w:r w:rsidRPr="00E47C79">
        <w:rPr>
          <w:sz w:val="28"/>
          <w:szCs w:val="28"/>
        </w:rPr>
        <w:t xml:space="preserve"> информационных писем с разъяснениями требований законодательства в сфере закупок товаров, работ, услуг.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>В целях повышения квалификации пользователей Департаментом</w:t>
      </w:r>
      <w:r w:rsidR="006C548B">
        <w:rPr>
          <w:sz w:val="28"/>
          <w:szCs w:val="28"/>
        </w:rPr>
        <w:t xml:space="preserve"> </w:t>
      </w:r>
      <w:proofErr w:type="spellStart"/>
      <w:r w:rsidR="006C548B">
        <w:rPr>
          <w:sz w:val="28"/>
          <w:szCs w:val="28"/>
        </w:rPr>
        <w:t>госзакупок</w:t>
      </w:r>
      <w:proofErr w:type="spellEnd"/>
      <w:r w:rsidR="006C548B">
        <w:rPr>
          <w:sz w:val="28"/>
          <w:szCs w:val="28"/>
        </w:rPr>
        <w:t xml:space="preserve"> Свердловской области </w:t>
      </w:r>
      <w:r w:rsidRPr="00E47C79">
        <w:rPr>
          <w:sz w:val="28"/>
          <w:szCs w:val="28"/>
        </w:rPr>
        <w:t xml:space="preserve"> подготовлен цикл видео уроков по работе в </w:t>
      </w:r>
      <w:r w:rsidR="004275B4">
        <w:rPr>
          <w:sz w:val="28"/>
          <w:szCs w:val="28"/>
        </w:rPr>
        <w:t>ЕИС</w:t>
      </w:r>
      <w:r w:rsidRPr="00E47C79">
        <w:rPr>
          <w:sz w:val="28"/>
          <w:szCs w:val="28"/>
        </w:rPr>
        <w:t xml:space="preserve"> по темам: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>– внесение изменений в план-график;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 xml:space="preserve">– работа с документом </w:t>
      </w:r>
      <w:r w:rsidR="00A953A0">
        <w:rPr>
          <w:sz w:val="28"/>
          <w:szCs w:val="28"/>
        </w:rPr>
        <w:t>«Совокупный годовой объем закупок»</w:t>
      </w:r>
      <w:r w:rsidR="009719E0">
        <w:rPr>
          <w:sz w:val="28"/>
          <w:szCs w:val="28"/>
        </w:rPr>
        <w:t xml:space="preserve"> (</w:t>
      </w:r>
      <w:r w:rsidR="00A953A0">
        <w:rPr>
          <w:sz w:val="28"/>
          <w:szCs w:val="28"/>
        </w:rPr>
        <w:t>далее</w:t>
      </w:r>
      <w:r w:rsidR="009719E0">
        <w:rPr>
          <w:sz w:val="28"/>
          <w:szCs w:val="28"/>
        </w:rPr>
        <w:t xml:space="preserve"> </w:t>
      </w:r>
      <w:r w:rsidR="00A953A0">
        <w:rPr>
          <w:sz w:val="28"/>
          <w:szCs w:val="28"/>
        </w:rPr>
        <w:t>-</w:t>
      </w:r>
      <w:r w:rsidR="009719E0">
        <w:rPr>
          <w:sz w:val="28"/>
          <w:szCs w:val="28"/>
        </w:rPr>
        <w:t xml:space="preserve"> </w:t>
      </w:r>
      <w:r w:rsidRPr="00E47C79">
        <w:rPr>
          <w:sz w:val="28"/>
          <w:szCs w:val="28"/>
        </w:rPr>
        <w:t>СГОЗ</w:t>
      </w:r>
      <w:r w:rsidR="00A953A0">
        <w:rPr>
          <w:sz w:val="28"/>
          <w:szCs w:val="28"/>
        </w:rPr>
        <w:t>)</w:t>
      </w:r>
      <w:r w:rsidRPr="00E47C79">
        <w:rPr>
          <w:sz w:val="28"/>
          <w:szCs w:val="28"/>
        </w:rPr>
        <w:t>;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>– создание плана-графика;</w:t>
      </w:r>
    </w:p>
    <w:p w:rsidR="00E47C79" w:rsidRP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>– техническое изменение в план-график и черновик плана-графика.</w:t>
      </w:r>
    </w:p>
    <w:p w:rsidR="00E47C79" w:rsidRDefault="00E47C79" w:rsidP="00E47C79">
      <w:pPr>
        <w:spacing w:line="259" w:lineRule="auto"/>
        <w:ind w:firstLine="708"/>
        <w:jc w:val="both"/>
        <w:rPr>
          <w:sz w:val="28"/>
          <w:szCs w:val="28"/>
        </w:rPr>
      </w:pPr>
      <w:proofErr w:type="gramStart"/>
      <w:r w:rsidRPr="0026495F">
        <w:rPr>
          <w:sz w:val="28"/>
          <w:szCs w:val="28"/>
        </w:rPr>
        <w:t xml:space="preserve">В рамках, проводимого Департаментом </w:t>
      </w:r>
      <w:proofErr w:type="spellStart"/>
      <w:r w:rsidR="00AD6E23" w:rsidRPr="0026495F">
        <w:rPr>
          <w:sz w:val="28"/>
          <w:szCs w:val="28"/>
        </w:rPr>
        <w:t>госзакупок</w:t>
      </w:r>
      <w:proofErr w:type="spellEnd"/>
      <w:r w:rsidR="00AD6E23" w:rsidRPr="0026495F">
        <w:rPr>
          <w:sz w:val="28"/>
          <w:szCs w:val="28"/>
        </w:rPr>
        <w:t xml:space="preserve"> Свердловской области </w:t>
      </w:r>
      <w:r w:rsidRPr="0026495F">
        <w:rPr>
          <w:sz w:val="28"/>
          <w:szCs w:val="28"/>
        </w:rPr>
        <w:t xml:space="preserve">«Дня открытых дверей», проведено 9 рабочих встреч с руководителями и представителями государственных и муниципальных заказчиков Свердловской </w:t>
      </w:r>
      <w:r w:rsidRPr="0026495F">
        <w:rPr>
          <w:sz w:val="28"/>
          <w:szCs w:val="28"/>
        </w:rPr>
        <w:lastRenderedPageBreak/>
        <w:t>области по вопросам применения законодательства о контрактной системе, также проведена 1 рабочая встреча с представителем открытого акционерного общества «Птицефабрика «</w:t>
      </w:r>
      <w:proofErr w:type="spellStart"/>
      <w:r w:rsidRPr="0026495F">
        <w:rPr>
          <w:sz w:val="28"/>
          <w:szCs w:val="28"/>
        </w:rPr>
        <w:t>Рефтинская</w:t>
      </w:r>
      <w:proofErr w:type="spellEnd"/>
      <w:r w:rsidRPr="0026495F">
        <w:rPr>
          <w:sz w:val="28"/>
          <w:szCs w:val="28"/>
        </w:rPr>
        <w:t>» по вопросу проведения оценки соответствия требованиям законодательства Российской Федерации, предусматривающим участие субъектов малого и среднего предпринимательства в</w:t>
      </w:r>
      <w:proofErr w:type="gramEnd"/>
      <w:r w:rsidRPr="0026495F">
        <w:rPr>
          <w:sz w:val="28"/>
          <w:szCs w:val="28"/>
        </w:rPr>
        <w:t xml:space="preserve"> </w:t>
      </w:r>
      <w:proofErr w:type="gramStart"/>
      <w:r w:rsidRPr="0026495F">
        <w:rPr>
          <w:sz w:val="28"/>
          <w:szCs w:val="28"/>
        </w:rPr>
        <w:t>закупках</w:t>
      </w:r>
      <w:proofErr w:type="gramEnd"/>
      <w:r w:rsidRPr="0026495F">
        <w:rPr>
          <w:sz w:val="28"/>
          <w:szCs w:val="28"/>
        </w:rPr>
        <w:t>, в соответствии со статьей 5.1 Федерального закона от 18.07.2011 № 223-ФЗ «О закупках товаров, работ, услуг отдельными видами юридических лиц».</w:t>
      </w:r>
    </w:p>
    <w:p w:rsidR="00402C13" w:rsidRPr="00377021" w:rsidRDefault="00402C13" w:rsidP="00402C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7021">
        <w:rPr>
          <w:rFonts w:eastAsiaTheme="minorHAnsi"/>
          <w:sz w:val="28"/>
          <w:szCs w:val="28"/>
          <w:lang w:eastAsia="en-US"/>
        </w:rPr>
        <w:t xml:space="preserve">Департаментом государственных закупок Свердловской области совместно с АНО ДПО «Институт </w:t>
      </w:r>
      <w:proofErr w:type="spellStart"/>
      <w:r w:rsidRPr="00377021">
        <w:rPr>
          <w:rFonts w:eastAsiaTheme="minorHAnsi"/>
          <w:sz w:val="28"/>
          <w:szCs w:val="28"/>
          <w:lang w:eastAsia="en-US"/>
        </w:rPr>
        <w:t>госзакупок</w:t>
      </w:r>
      <w:proofErr w:type="spellEnd"/>
      <w:r w:rsidRPr="00377021">
        <w:rPr>
          <w:rFonts w:eastAsiaTheme="minorHAnsi"/>
          <w:sz w:val="28"/>
          <w:szCs w:val="28"/>
          <w:lang w:eastAsia="en-US"/>
        </w:rPr>
        <w:t xml:space="preserve">» под руководством А.А. </w:t>
      </w:r>
      <w:proofErr w:type="spellStart"/>
      <w:r w:rsidRPr="00377021">
        <w:rPr>
          <w:rFonts w:eastAsiaTheme="minorHAnsi"/>
          <w:sz w:val="28"/>
          <w:szCs w:val="28"/>
          <w:lang w:eastAsia="en-US"/>
        </w:rPr>
        <w:t>Храмкина</w:t>
      </w:r>
      <w:proofErr w:type="spellEnd"/>
      <w:r w:rsidRPr="00377021">
        <w:rPr>
          <w:rFonts w:eastAsiaTheme="minorHAnsi"/>
          <w:sz w:val="28"/>
          <w:szCs w:val="28"/>
          <w:lang w:eastAsia="en-US"/>
        </w:rPr>
        <w:t xml:space="preserve"> в                         г. Екатеринбурге организовано проведение обучения должностных лиц заказчиков Свердловской области, занятых в сфере закупок в рамках программы повышения квалификации «Контрактная система в сфере закупок товаров, работ и услуг».</w:t>
      </w:r>
    </w:p>
    <w:p w:rsidR="00402C13" w:rsidRPr="00377021" w:rsidRDefault="00402C13" w:rsidP="00402C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7021">
        <w:rPr>
          <w:rFonts w:eastAsiaTheme="minorHAnsi"/>
          <w:sz w:val="28"/>
          <w:szCs w:val="28"/>
          <w:lang w:eastAsia="en-US"/>
        </w:rPr>
        <w:t>Обучение проводилось в целях реализации положений Закона о контрактной системе и приказа Минтруда России от 10.09.2015 № 625н «Об утверждении профессионального стандарта «Специали</w:t>
      </w:r>
      <w:proofErr w:type="gramStart"/>
      <w:r w:rsidRPr="00377021">
        <w:rPr>
          <w:rFonts w:eastAsiaTheme="minorHAnsi"/>
          <w:sz w:val="28"/>
          <w:szCs w:val="28"/>
          <w:lang w:eastAsia="en-US"/>
        </w:rPr>
        <w:t>ст в сф</w:t>
      </w:r>
      <w:proofErr w:type="gramEnd"/>
      <w:r w:rsidRPr="00377021">
        <w:rPr>
          <w:rFonts w:eastAsiaTheme="minorHAnsi"/>
          <w:sz w:val="28"/>
          <w:szCs w:val="28"/>
          <w:lang w:eastAsia="en-US"/>
        </w:rPr>
        <w:t xml:space="preserve">ере закупок». Согласно требованиям вышеуказанных нормативных актов, а также абзаца 1 статьи 195.3 Трудового кодекса Российской Федерации, вступившей в силу с 01.07.2016, у лиц, занятых в сфере закупок, должно быть дополнительное профессиональное образование в сфере закупок. Объем программы составил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108</w:t>
      </w:r>
      <w:r w:rsidR="00CF6A7E" w:rsidRPr="00377021">
        <w:rPr>
          <w:rFonts w:eastAsiaTheme="minorHAnsi"/>
          <w:sz w:val="28"/>
          <w:szCs w:val="28"/>
          <w:lang w:eastAsia="en-US"/>
        </w:rPr>
        <w:t xml:space="preserve"> часов </w:t>
      </w:r>
      <w:r w:rsidRPr="00377021">
        <w:rPr>
          <w:rFonts w:eastAsiaTheme="minorHAnsi"/>
          <w:sz w:val="28"/>
          <w:szCs w:val="28"/>
          <w:lang w:eastAsia="en-US"/>
        </w:rPr>
        <w:t>с 10 по 14 октября 2016 года.</w:t>
      </w:r>
    </w:p>
    <w:p w:rsidR="00402C13" w:rsidRPr="00402C13" w:rsidRDefault="00402C13" w:rsidP="00CF6A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021">
        <w:rPr>
          <w:rFonts w:eastAsiaTheme="minorHAnsi"/>
          <w:sz w:val="28"/>
          <w:szCs w:val="28"/>
          <w:lang w:eastAsia="en-US"/>
        </w:rPr>
        <w:t xml:space="preserve">По результатам обучения, повышение квалификации успешно прошли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104 должностных лица</w:t>
      </w:r>
      <w:r w:rsidRPr="00377021">
        <w:rPr>
          <w:rFonts w:eastAsiaTheme="minorHAnsi"/>
          <w:sz w:val="28"/>
          <w:szCs w:val="28"/>
          <w:lang w:eastAsia="en-US"/>
        </w:rPr>
        <w:t xml:space="preserve"> занимающихся осуществлением закупок в </w:t>
      </w:r>
      <w:r w:rsidRPr="00377021">
        <w:rPr>
          <w:rFonts w:eastAsiaTheme="minorHAnsi"/>
          <w:b/>
          <w:i/>
          <w:sz w:val="28"/>
          <w:szCs w:val="28"/>
          <w:lang w:eastAsia="en-US"/>
        </w:rPr>
        <w:t>53</w:t>
      </w:r>
      <w:r w:rsidRPr="00377021">
        <w:rPr>
          <w:rFonts w:eastAsiaTheme="minorHAnsi"/>
          <w:sz w:val="28"/>
          <w:szCs w:val="28"/>
          <w:lang w:eastAsia="en-US"/>
        </w:rPr>
        <w:t xml:space="preserve"> государственных организациях</w:t>
      </w:r>
      <w:r w:rsidRPr="00377021">
        <w:rPr>
          <w:rFonts w:ascii="LiberationSerif" w:eastAsiaTheme="minorHAnsi" w:hAnsi="LiberationSerif" w:cs="LiberationSerif"/>
          <w:lang w:eastAsia="en-US"/>
        </w:rPr>
        <w:t xml:space="preserve"> </w:t>
      </w:r>
      <w:r w:rsidRPr="00377021">
        <w:rPr>
          <w:rFonts w:eastAsiaTheme="minorHAnsi"/>
          <w:sz w:val="28"/>
          <w:szCs w:val="28"/>
          <w:lang w:eastAsia="en-US"/>
        </w:rPr>
        <w:t>Свердловской области.</w:t>
      </w:r>
      <w:bookmarkStart w:id="2" w:name="_GoBack"/>
      <w:bookmarkEnd w:id="2"/>
    </w:p>
    <w:p w:rsidR="00E47C79" w:rsidRPr="00E47C79" w:rsidRDefault="00E47C79" w:rsidP="00A953A0">
      <w:pPr>
        <w:spacing w:line="259" w:lineRule="auto"/>
        <w:ind w:firstLine="708"/>
        <w:jc w:val="both"/>
        <w:rPr>
          <w:sz w:val="28"/>
          <w:szCs w:val="28"/>
        </w:rPr>
      </w:pPr>
      <w:r w:rsidRPr="00E47C79">
        <w:rPr>
          <w:sz w:val="28"/>
          <w:szCs w:val="28"/>
        </w:rPr>
        <w:t>Также, на постоянной основе, осуществляется консультирование заказчиков Свердловской области по вопросам работы в информационной системе</w:t>
      </w:r>
      <w:r w:rsidR="008E3AE3">
        <w:rPr>
          <w:sz w:val="28"/>
          <w:szCs w:val="28"/>
        </w:rPr>
        <w:t xml:space="preserve"> Свердловской </w:t>
      </w:r>
      <w:r w:rsidR="002B667F">
        <w:rPr>
          <w:sz w:val="28"/>
          <w:szCs w:val="28"/>
        </w:rPr>
        <w:t>области в сфере закупок</w:t>
      </w:r>
      <w:r w:rsidRPr="00E47C79">
        <w:rPr>
          <w:sz w:val="28"/>
          <w:szCs w:val="28"/>
        </w:rPr>
        <w:t xml:space="preserve">. </w:t>
      </w:r>
    </w:p>
    <w:p w:rsidR="00E47C79" w:rsidRDefault="00E47C79" w:rsidP="00E47C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5A2F" w:rsidRPr="002B667F" w:rsidRDefault="00505A2F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B66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567E17" w:rsidRPr="002B667F">
        <w:rPr>
          <w:rFonts w:ascii="Times New Roman" w:hAnsi="Times New Roman" w:cs="Times New Roman"/>
          <w:i/>
          <w:color w:val="auto"/>
          <w:sz w:val="28"/>
          <w:szCs w:val="28"/>
        </w:rPr>
        <w:t>5</w:t>
      </w:r>
      <w:r w:rsidRPr="002B66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0B10A4" w:rsidRPr="002B667F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 контра</w:t>
      </w:r>
      <w:r w:rsidR="007E6675" w:rsidRPr="002B667F">
        <w:rPr>
          <w:rFonts w:ascii="Times New Roman" w:hAnsi="Times New Roman" w:cs="Times New Roman"/>
          <w:i/>
          <w:color w:val="auto"/>
          <w:sz w:val="28"/>
          <w:szCs w:val="28"/>
        </w:rPr>
        <w:t>ктной системы в сфере закупок.</w:t>
      </w:r>
    </w:p>
    <w:p w:rsidR="002B0ED2" w:rsidRPr="00505A2F" w:rsidRDefault="002B0ED2" w:rsidP="002B0ED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5A2F">
        <w:rPr>
          <w:sz w:val="28"/>
          <w:szCs w:val="28"/>
        </w:rPr>
        <w:t xml:space="preserve">В целях информационного обеспечения контрактной системы в сфере закупок создаётся и ведётся </w:t>
      </w:r>
      <w:r w:rsidRPr="006555ED">
        <w:rPr>
          <w:sz w:val="28"/>
          <w:szCs w:val="28"/>
        </w:rPr>
        <w:t>Един</w:t>
      </w:r>
      <w:r>
        <w:rPr>
          <w:sz w:val="28"/>
          <w:szCs w:val="28"/>
        </w:rPr>
        <w:t>ая</w:t>
      </w:r>
      <w:r w:rsidRPr="006555ED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 xml:space="preserve">ая система в сфере закупок </w:t>
      </w:r>
      <w:r w:rsidRPr="00F965FE">
        <w:rPr>
          <w:sz w:val="28"/>
          <w:szCs w:val="28"/>
        </w:rPr>
        <w:t>www.zakupki.gov.ru</w:t>
      </w:r>
      <w:r>
        <w:rPr>
          <w:sz w:val="28"/>
          <w:szCs w:val="28"/>
        </w:rPr>
        <w:t xml:space="preserve"> (далее – ЕИС)</w:t>
      </w:r>
      <w:r w:rsidRPr="00505A2F">
        <w:rPr>
          <w:sz w:val="28"/>
          <w:szCs w:val="28"/>
        </w:rPr>
        <w:t>.</w:t>
      </w:r>
    </w:p>
    <w:p w:rsidR="002B0ED2" w:rsidRPr="00307ED6" w:rsidRDefault="002B0ED2" w:rsidP="002B0ED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13433F">
        <w:rPr>
          <w:sz w:val="28"/>
          <w:szCs w:val="28"/>
          <w:lang w:val="en-US"/>
        </w:rPr>
        <w:t>C</w:t>
      </w:r>
      <w:proofErr w:type="spellStart"/>
      <w:r w:rsidRPr="0013433F">
        <w:rPr>
          <w:sz w:val="28"/>
          <w:szCs w:val="28"/>
        </w:rPr>
        <w:t>убъекты</w:t>
      </w:r>
      <w:proofErr w:type="spellEnd"/>
      <w:r w:rsidRPr="0013433F">
        <w:rPr>
          <w:sz w:val="28"/>
          <w:szCs w:val="28"/>
        </w:rPr>
        <w:t xml:space="preserve">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</w:t>
      </w:r>
      <w:r>
        <w:rPr>
          <w:sz w:val="28"/>
          <w:szCs w:val="28"/>
        </w:rPr>
        <w:t>ЕИС</w:t>
      </w:r>
      <w:r w:rsidRPr="0013433F">
        <w:rPr>
          <w:sz w:val="28"/>
          <w:szCs w:val="28"/>
        </w:rPr>
        <w:t xml:space="preserve"> (ч</w:t>
      </w:r>
      <w:r>
        <w:rPr>
          <w:sz w:val="28"/>
          <w:szCs w:val="28"/>
        </w:rPr>
        <w:t>асть</w:t>
      </w:r>
      <w:r w:rsidRPr="0013433F">
        <w:rPr>
          <w:sz w:val="28"/>
          <w:szCs w:val="28"/>
        </w:rPr>
        <w:t xml:space="preserve"> 7 ст</w:t>
      </w:r>
      <w:r>
        <w:rPr>
          <w:sz w:val="28"/>
          <w:szCs w:val="28"/>
        </w:rPr>
        <w:t>атьи</w:t>
      </w:r>
      <w:r w:rsidRPr="0013433F">
        <w:rPr>
          <w:sz w:val="28"/>
          <w:szCs w:val="28"/>
        </w:rPr>
        <w:t xml:space="preserve"> 4 Закона о контрактной системе).</w:t>
      </w:r>
      <w:proofErr w:type="gramEnd"/>
      <w:r w:rsidRPr="0013433F">
        <w:rPr>
          <w:sz w:val="28"/>
          <w:szCs w:val="28"/>
        </w:rPr>
        <w:t xml:space="preserve"> Единые требования к региональным и муниципальным информационным системам в сфере закупок установлены постановлением Правительств Российской Федерации от 28.11.2013 № 1091 </w:t>
      </w:r>
      <w:r w:rsidRPr="00307ED6">
        <w:rPr>
          <w:sz w:val="28"/>
          <w:szCs w:val="28"/>
        </w:rPr>
        <w:t>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– Постановление № 1091)</w:t>
      </w:r>
      <w:r w:rsidRPr="00307ED6">
        <w:rPr>
          <w:sz w:val="28"/>
          <w:szCs w:val="28"/>
        </w:rPr>
        <w:t>.</w:t>
      </w:r>
    </w:p>
    <w:p w:rsidR="002B0ED2" w:rsidRPr="004970F1" w:rsidRDefault="002B0ED2" w:rsidP="002B0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4970F1">
        <w:rPr>
          <w:sz w:val="28"/>
          <w:szCs w:val="28"/>
        </w:rPr>
        <w:t>31.12.2015 г. на региональном уровне функционир</w:t>
      </w:r>
      <w:r>
        <w:rPr>
          <w:sz w:val="28"/>
          <w:szCs w:val="28"/>
        </w:rPr>
        <w:t xml:space="preserve">овала </w:t>
      </w:r>
      <w:r w:rsidRPr="004970F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4970F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4970F1">
        <w:rPr>
          <w:sz w:val="28"/>
          <w:szCs w:val="28"/>
        </w:rPr>
        <w:t>, обеспечивающ</w:t>
      </w:r>
      <w:r>
        <w:rPr>
          <w:sz w:val="28"/>
          <w:szCs w:val="28"/>
        </w:rPr>
        <w:t>ая</w:t>
      </w:r>
      <w:r w:rsidRPr="004970F1">
        <w:rPr>
          <w:sz w:val="28"/>
          <w:szCs w:val="28"/>
        </w:rPr>
        <w:t xml:space="preserve"> взаимодействие с Общероссийским официальным </w:t>
      </w:r>
      <w:r w:rsidRPr="004970F1">
        <w:rPr>
          <w:sz w:val="28"/>
          <w:szCs w:val="28"/>
        </w:rPr>
        <w:lastRenderedPageBreak/>
        <w:t>сайтом закупок</w:t>
      </w:r>
      <w:r>
        <w:rPr>
          <w:sz w:val="28"/>
          <w:szCs w:val="28"/>
        </w:rPr>
        <w:t xml:space="preserve"> </w:t>
      </w:r>
      <w:r w:rsidRPr="004970F1">
        <w:rPr>
          <w:sz w:val="28"/>
          <w:szCs w:val="28"/>
        </w:rPr>
        <w:t xml:space="preserve">– официальный сайт Свердловской области «Закупки продукции для нужд Свердловской области» </w:t>
      </w:r>
      <w:r w:rsidRPr="00F965FE">
        <w:rPr>
          <w:sz w:val="28"/>
          <w:szCs w:val="28"/>
          <w:lang w:val="en-US"/>
        </w:rPr>
        <w:t>www</w:t>
      </w:r>
      <w:r w:rsidRPr="00F965FE">
        <w:rPr>
          <w:sz w:val="28"/>
          <w:szCs w:val="28"/>
        </w:rPr>
        <w:t>.zakupki.midural.ru</w:t>
      </w:r>
      <w:r>
        <w:rPr>
          <w:rStyle w:val="af4"/>
          <w:sz w:val="28"/>
          <w:szCs w:val="28"/>
        </w:rPr>
        <w:t>.</w:t>
      </w:r>
    </w:p>
    <w:p w:rsidR="002B0ED2" w:rsidRPr="00775EFB" w:rsidRDefault="002B0ED2" w:rsidP="002B0ED2">
      <w:pPr>
        <w:ind w:firstLine="709"/>
        <w:jc w:val="both"/>
        <w:rPr>
          <w:sz w:val="28"/>
          <w:szCs w:val="28"/>
        </w:rPr>
      </w:pPr>
      <w:r w:rsidRPr="004970F1">
        <w:rPr>
          <w:sz w:val="28"/>
          <w:szCs w:val="28"/>
        </w:rPr>
        <w:t xml:space="preserve">Существующий функционал сайта </w:t>
      </w:r>
      <w:r w:rsidRPr="00F965FE">
        <w:rPr>
          <w:sz w:val="28"/>
          <w:szCs w:val="28"/>
          <w:lang w:val="en-US"/>
        </w:rPr>
        <w:t>www</w:t>
      </w:r>
      <w:r w:rsidRPr="00F965FE">
        <w:rPr>
          <w:sz w:val="28"/>
          <w:szCs w:val="28"/>
        </w:rPr>
        <w:t>.zakupki.midural.ru</w:t>
      </w:r>
      <w:r w:rsidRPr="004970F1">
        <w:rPr>
          <w:rStyle w:val="af4"/>
          <w:sz w:val="28"/>
          <w:szCs w:val="28"/>
        </w:rPr>
        <w:t xml:space="preserve"> </w:t>
      </w:r>
      <w:r w:rsidRPr="004970F1">
        <w:rPr>
          <w:sz w:val="28"/>
          <w:szCs w:val="28"/>
        </w:rPr>
        <w:t>не позволил</w:t>
      </w:r>
      <w:r>
        <w:rPr>
          <w:sz w:val="28"/>
          <w:szCs w:val="28"/>
        </w:rPr>
        <w:t xml:space="preserve"> </w:t>
      </w:r>
      <w:r w:rsidRPr="004970F1">
        <w:rPr>
          <w:sz w:val="28"/>
          <w:szCs w:val="28"/>
        </w:rPr>
        <w:t xml:space="preserve">в полной мере обеспечить выполнение единых </w:t>
      </w:r>
      <w:hyperlink r:id="rId45" w:tooltip="Постановление Правительства РФ от 28.11.2013 N 1091 &quot;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&quot;{КонсультантПлюс}" w:history="1">
        <w:r w:rsidRPr="004970F1">
          <w:rPr>
            <w:sz w:val="28"/>
            <w:szCs w:val="28"/>
          </w:rPr>
          <w:t>требований</w:t>
        </w:r>
      </w:hyperlink>
      <w:r w:rsidRPr="004970F1">
        <w:rPr>
          <w:sz w:val="28"/>
          <w:szCs w:val="28"/>
        </w:rPr>
        <w:t xml:space="preserve"> к региональным информационным системам </w:t>
      </w:r>
      <w:r>
        <w:rPr>
          <w:sz w:val="28"/>
          <w:szCs w:val="28"/>
        </w:rPr>
        <w:t>в сфере закупок, установленным П</w:t>
      </w:r>
      <w:r w:rsidRPr="004970F1">
        <w:rPr>
          <w:sz w:val="28"/>
          <w:szCs w:val="28"/>
        </w:rPr>
        <w:t xml:space="preserve">остановлением № 1091. </w:t>
      </w:r>
      <w:r w:rsidRPr="009B0BC4">
        <w:rPr>
          <w:sz w:val="28"/>
          <w:szCs w:val="28"/>
        </w:rPr>
        <w:t xml:space="preserve">В связи с этим в </w:t>
      </w:r>
      <w:r w:rsidRPr="00E15680">
        <w:rPr>
          <w:rStyle w:val="af4"/>
          <w:color w:val="auto"/>
          <w:sz w:val="28"/>
          <w:szCs w:val="28"/>
        </w:rPr>
        <w:t xml:space="preserve">государственную программу Свердловской области </w:t>
      </w:r>
      <w:r w:rsidRPr="009B0BC4">
        <w:rPr>
          <w:sz w:val="28"/>
          <w:szCs w:val="28"/>
        </w:rPr>
        <w:t>«Совершенствование механизмов осуществления закупок товаров, работ, услуг для государственных нужд Свердловской области до 2020 года», утверждённую постановлением Правительства Свердловской области от 21.10.2013 № 1274-ПП, включены мероприятия по созданию региональной информационной</w:t>
      </w:r>
      <w:r w:rsidRPr="00775EFB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С</w:t>
      </w:r>
      <w:r w:rsidRPr="00881C52">
        <w:rPr>
          <w:sz w:val="28"/>
          <w:szCs w:val="28"/>
        </w:rPr>
        <w:t>вердловской области в сфере закупок</w:t>
      </w:r>
      <w:r>
        <w:rPr>
          <w:sz w:val="28"/>
          <w:szCs w:val="28"/>
        </w:rPr>
        <w:t xml:space="preserve"> (далее – РИС)</w:t>
      </w:r>
      <w:r w:rsidRPr="00775EFB">
        <w:rPr>
          <w:sz w:val="28"/>
          <w:szCs w:val="28"/>
        </w:rPr>
        <w:t>, соответств</w:t>
      </w:r>
      <w:r>
        <w:rPr>
          <w:sz w:val="28"/>
          <w:szCs w:val="28"/>
        </w:rPr>
        <w:t>ующей установленным требованиям</w:t>
      </w:r>
      <w:r w:rsidRPr="00A85667">
        <w:rPr>
          <w:sz w:val="28"/>
          <w:szCs w:val="28"/>
        </w:rPr>
        <w:t>.</w:t>
      </w:r>
    </w:p>
    <w:p w:rsidR="002B0ED2" w:rsidRDefault="002B0ED2" w:rsidP="002B0ED2">
      <w:pPr>
        <w:ind w:firstLine="709"/>
        <w:jc w:val="both"/>
        <w:rPr>
          <w:sz w:val="28"/>
          <w:szCs w:val="28"/>
        </w:rPr>
      </w:pPr>
      <w:r w:rsidRPr="003D5D98">
        <w:rPr>
          <w:sz w:val="28"/>
          <w:szCs w:val="28"/>
        </w:rPr>
        <w:t xml:space="preserve">С целью реализации указанного мероприятия Департаментом </w:t>
      </w:r>
      <w:proofErr w:type="spellStart"/>
      <w:r w:rsidR="00803864">
        <w:rPr>
          <w:sz w:val="28"/>
          <w:szCs w:val="28"/>
        </w:rPr>
        <w:t>госзакупок</w:t>
      </w:r>
      <w:proofErr w:type="spellEnd"/>
      <w:r w:rsidR="00803864">
        <w:rPr>
          <w:sz w:val="28"/>
          <w:szCs w:val="28"/>
        </w:rPr>
        <w:t xml:space="preserve"> Свердловской области </w:t>
      </w:r>
      <w:r w:rsidRPr="003D5D98">
        <w:rPr>
          <w:sz w:val="28"/>
          <w:szCs w:val="28"/>
        </w:rPr>
        <w:t>заключены государственные контракты, направленные на поэтапное создание РИС.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01.01.2016 г. в</w:t>
      </w:r>
      <w:r w:rsidRPr="00881C52">
        <w:rPr>
          <w:sz w:val="28"/>
          <w:szCs w:val="28"/>
        </w:rPr>
        <w:t>заимодействие с заказчиками Свердловской области</w:t>
      </w:r>
      <w:r w:rsidRPr="00270A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81C52">
        <w:rPr>
          <w:sz w:val="28"/>
          <w:szCs w:val="28"/>
        </w:rPr>
        <w:t xml:space="preserve">существляется посредством </w:t>
      </w:r>
      <w:r>
        <w:rPr>
          <w:sz w:val="28"/>
          <w:szCs w:val="28"/>
        </w:rPr>
        <w:t xml:space="preserve">Информационной системы Свердловской области в сфере закупок (далее – ИС) 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сопровождения </w:t>
      </w:r>
      <w:r w:rsidRPr="00881C52">
        <w:rPr>
          <w:sz w:val="28"/>
          <w:szCs w:val="28"/>
        </w:rPr>
        <w:t xml:space="preserve">ИС и консультирования заказчиков Свердловской области, </w:t>
      </w:r>
      <w:r>
        <w:rPr>
          <w:sz w:val="28"/>
          <w:szCs w:val="28"/>
        </w:rPr>
        <w:t>в</w:t>
      </w:r>
      <w:r w:rsidRPr="00881C52">
        <w:rPr>
          <w:sz w:val="28"/>
          <w:szCs w:val="28"/>
        </w:rPr>
        <w:t xml:space="preserve"> рамках II  и </w:t>
      </w:r>
      <w:r w:rsidRPr="00881C52">
        <w:rPr>
          <w:sz w:val="28"/>
          <w:szCs w:val="28"/>
          <w:lang w:val="en-US"/>
        </w:rPr>
        <w:t>III</w:t>
      </w:r>
      <w:r w:rsidRPr="00881C52">
        <w:rPr>
          <w:sz w:val="28"/>
          <w:szCs w:val="28"/>
        </w:rPr>
        <w:t xml:space="preserve"> этапа создания РИС, за 2016 год: 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81C52">
        <w:rPr>
          <w:sz w:val="28"/>
          <w:szCs w:val="28"/>
        </w:rPr>
        <w:t xml:space="preserve">проведена модернизация, путем внедрения нового блока, позволяющего осуществлять проведение процедур совместных торгов посредством ИС. 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>Вышеуказанный блок позволяет сократить время и трудозатраты на планирование и организацию при осуществлении совместных закупок за счет автоматизации процессов подготовки, определения поставщиков (подрядчиков, исполнителей), координации и контроля заказчиков Свердловской области, принимающих участие в совместных торгах.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proofErr w:type="gramStart"/>
      <w:r w:rsidRPr="00881C52">
        <w:rPr>
          <w:sz w:val="28"/>
          <w:szCs w:val="28"/>
        </w:rPr>
        <w:t>2) проведена модернизация серверного оборудования и внедрен блок, позволяющий осуществлять формирование извещений об осуществлении закупок товаров, работ, услуг и документаций о закупке путем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в электронной форме, закрытых аукционов, запросов котировок, запросов предложений, закупок у единственного поставщика (подрядчика, исполнителя) вне</w:t>
      </w:r>
      <w:proofErr w:type="gramEnd"/>
      <w:r w:rsidRPr="00881C52">
        <w:rPr>
          <w:sz w:val="28"/>
          <w:szCs w:val="28"/>
        </w:rPr>
        <w:t xml:space="preserve"> зависимости от начальной (максимальной) цены контракта, направление сведений в реестр контрактов, заключенных заказчиками Свердловской области. 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 xml:space="preserve">3) для государственных заказчиков Свердловской области реализована возможность формирования и ведения в </w:t>
      </w:r>
      <w:r>
        <w:rPr>
          <w:sz w:val="28"/>
          <w:szCs w:val="28"/>
        </w:rPr>
        <w:t>ИС</w:t>
      </w:r>
      <w:r w:rsidRPr="00881C52">
        <w:rPr>
          <w:sz w:val="28"/>
          <w:szCs w:val="28"/>
        </w:rPr>
        <w:t xml:space="preserve"> планов-графиков </w:t>
      </w:r>
      <w:r w:rsidRPr="009368C4">
        <w:rPr>
          <w:sz w:val="28"/>
          <w:szCs w:val="28"/>
        </w:rPr>
        <w:t xml:space="preserve">закупок товаров, работ, услуг для обеспечения нужд </w:t>
      </w:r>
      <w:r>
        <w:rPr>
          <w:sz w:val="28"/>
          <w:szCs w:val="28"/>
        </w:rPr>
        <w:t>заказчиков</w:t>
      </w:r>
      <w:r w:rsidRPr="009368C4">
        <w:rPr>
          <w:sz w:val="28"/>
          <w:szCs w:val="28"/>
        </w:rPr>
        <w:t xml:space="preserve"> Свердловской области</w:t>
      </w:r>
      <w:r w:rsidRPr="00881C52">
        <w:rPr>
          <w:sz w:val="28"/>
          <w:szCs w:val="28"/>
        </w:rPr>
        <w:t xml:space="preserve"> и планов закупок </w:t>
      </w:r>
      <w:r w:rsidRPr="00DD18F4">
        <w:rPr>
          <w:sz w:val="28"/>
          <w:szCs w:val="28"/>
        </w:rPr>
        <w:t xml:space="preserve">товаров, работ, услуг для обеспечения нужд </w:t>
      </w:r>
      <w:r>
        <w:rPr>
          <w:sz w:val="28"/>
          <w:szCs w:val="28"/>
        </w:rPr>
        <w:t>заказчиков</w:t>
      </w:r>
      <w:r w:rsidRPr="009368C4">
        <w:rPr>
          <w:sz w:val="28"/>
          <w:szCs w:val="28"/>
        </w:rPr>
        <w:t xml:space="preserve"> Свердловской области</w:t>
      </w:r>
      <w:r w:rsidRPr="00881C52">
        <w:rPr>
          <w:sz w:val="28"/>
          <w:szCs w:val="28"/>
        </w:rPr>
        <w:t>.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 xml:space="preserve">4) </w:t>
      </w:r>
      <w:r>
        <w:rPr>
          <w:sz w:val="28"/>
          <w:szCs w:val="28"/>
        </w:rPr>
        <w:t>в</w:t>
      </w:r>
      <w:r w:rsidRPr="00881C52">
        <w:rPr>
          <w:sz w:val="28"/>
          <w:szCs w:val="28"/>
        </w:rPr>
        <w:t xml:space="preserve">недрены блокирующие и информационные контроли, позволяющие повысить качество подготовки заказчиками сведений о закупках, исключают </w:t>
      </w:r>
      <w:r w:rsidRPr="00881C52">
        <w:rPr>
          <w:sz w:val="28"/>
          <w:szCs w:val="28"/>
        </w:rPr>
        <w:lastRenderedPageBreak/>
        <w:t>возможность технических ошибок и снижают количество нарушений при проведении закупок.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 xml:space="preserve">5) реализована система оповещения, позволяющая оперативно уведомлять пользователей о последних доработках </w:t>
      </w:r>
      <w:r>
        <w:rPr>
          <w:sz w:val="28"/>
          <w:szCs w:val="28"/>
        </w:rPr>
        <w:t>ИС</w:t>
      </w:r>
      <w:r w:rsidRPr="00881C52">
        <w:rPr>
          <w:sz w:val="28"/>
          <w:szCs w:val="28"/>
        </w:rPr>
        <w:t>, изменениях действующего законодательства, а также рассылки рекомендаций Департамента;</w:t>
      </w:r>
    </w:p>
    <w:p w:rsidR="002B0ED2" w:rsidRPr="00881C52" w:rsidRDefault="002B0ED2" w:rsidP="002B0ED2">
      <w:pPr>
        <w:ind w:firstLine="708"/>
        <w:jc w:val="both"/>
        <w:rPr>
          <w:sz w:val="28"/>
          <w:szCs w:val="28"/>
        </w:rPr>
      </w:pPr>
      <w:r w:rsidRPr="00881C52">
        <w:rPr>
          <w:sz w:val="28"/>
          <w:szCs w:val="28"/>
        </w:rPr>
        <w:t>6) внедрен функционал по внесению изменений в размещенные извещения и правила документооборота для внесения изменений, также реализована функция по осуществлению планирования работы комиссий, позволяющая отслеживать текущую нагрузку на специалистов и планировать предстоящие периоды.</w:t>
      </w:r>
    </w:p>
    <w:p w:rsidR="002B0ED2" w:rsidRPr="00881C52" w:rsidRDefault="002B0ED2" w:rsidP="002B0ED2">
      <w:pPr>
        <w:ind w:firstLine="709"/>
        <w:jc w:val="both"/>
        <w:rPr>
          <w:sz w:val="28"/>
          <w:szCs w:val="28"/>
        </w:rPr>
      </w:pPr>
      <w:r w:rsidRPr="00881C52">
        <w:rPr>
          <w:sz w:val="28"/>
          <w:szCs w:val="28"/>
        </w:rPr>
        <w:t>7) В рамках сопровождения Информационной системы и интеграции с программным комплексом «Бюджет-СМАРТ» внедрена функция казначейского контроля в соответствии с ч. 5 ст. 99 Закона о контрактной системе.</w:t>
      </w:r>
    </w:p>
    <w:p w:rsidR="002B0ED2" w:rsidRPr="00172A40" w:rsidRDefault="002B0ED2" w:rsidP="002B0ED2">
      <w:pPr>
        <w:ind w:firstLine="540"/>
        <w:jc w:val="both"/>
        <w:rPr>
          <w:sz w:val="28"/>
          <w:szCs w:val="28"/>
        </w:rPr>
      </w:pPr>
      <w:r w:rsidRPr="004A7BAE">
        <w:rPr>
          <w:sz w:val="28"/>
          <w:szCs w:val="28"/>
        </w:rPr>
        <w:t>Для заверш</w:t>
      </w:r>
      <w:r>
        <w:rPr>
          <w:sz w:val="28"/>
          <w:szCs w:val="28"/>
        </w:rPr>
        <w:t>ающего этапа</w:t>
      </w:r>
      <w:r w:rsidRPr="004A7BAE">
        <w:rPr>
          <w:sz w:val="28"/>
          <w:szCs w:val="28"/>
        </w:rPr>
        <w:t xml:space="preserve"> создания РИС необходимо проведение работ по приведению ИС в соответствие с требованиями, установленными Постановлением № 1091 в части соответствия требованиям в области защиты информации.</w:t>
      </w:r>
      <w:r>
        <w:rPr>
          <w:sz w:val="28"/>
          <w:szCs w:val="28"/>
        </w:rPr>
        <w:t xml:space="preserve"> </w:t>
      </w:r>
      <w:r w:rsidRPr="004A7B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данных </w:t>
      </w:r>
      <w:r w:rsidRPr="004A7BAE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в 2017 году </w:t>
      </w:r>
      <w:r w:rsidRPr="004A7BAE">
        <w:rPr>
          <w:sz w:val="28"/>
          <w:szCs w:val="28"/>
        </w:rPr>
        <w:t>необходимо прове</w:t>
      </w:r>
      <w:r>
        <w:rPr>
          <w:sz w:val="28"/>
          <w:szCs w:val="28"/>
        </w:rPr>
        <w:t xml:space="preserve">дение </w:t>
      </w:r>
      <w:r w:rsidRPr="004A7BAE">
        <w:rPr>
          <w:sz w:val="28"/>
          <w:szCs w:val="28"/>
        </w:rPr>
        <w:t>аттестаци</w:t>
      </w:r>
      <w:r>
        <w:rPr>
          <w:sz w:val="28"/>
          <w:szCs w:val="28"/>
        </w:rPr>
        <w:t>и</w:t>
      </w:r>
      <w:r w:rsidRPr="004A7BAE">
        <w:rPr>
          <w:sz w:val="28"/>
          <w:szCs w:val="28"/>
        </w:rPr>
        <w:t xml:space="preserve"> серверного оборудования и ИС на соответствие </w:t>
      </w:r>
      <w:r w:rsidRPr="00172A40">
        <w:rPr>
          <w:sz w:val="28"/>
          <w:szCs w:val="28"/>
        </w:rPr>
        <w:t>требованиям информационной безопасности и принятия ряда нормативных правовых актов Свердловской области.</w:t>
      </w:r>
    </w:p>
    <w:p w:rsidR="002B0ED2" w:rsidRPr="004A7BAE" w:rsidRDefault="002B0ED2" w:rsidP="002B0ED2">
      <w:pPr>
        <w:rPr>
          <w:sz w:val="28"/>
          <w:szCs w:val="28"/>
        </w:rPr>
      </w:pPr>
    </w:p>
    <w:p w:rsidR="00881C52" w:rsidRPr="003F289D" w:rsidRDefault="00881C52" w:rsidP="007F3F53">
      <w:pPr>
        <w:jc w:val="center"/>
        <w:rPr>
          <w:sz w:val="28"/>
          <w:szCs w:val="28"/>
        </w:rPr>
      </w:pPr>
    </w:p>
    <w:p w:rsidR="008745F7" w:rsidRPr="00803864" w:rsidRDefault="00C11B4B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038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567E17" w:rsidRPr="00803864">
        <w:rPr>
          <w:rFonts w:ascii="Times New Roman" w:hAnsi="Times New Roman" w:cs="Times New Roman"/>
          <w:i/>
          <w:color w:val="auto"/>
          <w:sz w:val="28"/>
          <w:szCs w:val="28"/>
        </w:rPr>
        <w:t>6</w:t>
      </w:r>
      <w:r w:rsidRPr="008038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8745F7" w:rsidRPr="00803864">
        <w:rPr>
          <w:rFonts w:ascii="Times New Roman" w:hAnsi="Times New Roman" w:cs="Times New Roman"/>
          <w:i/>
          <w:color w:val="auto"/>
          <w:sz w:val="28"/>
          <w:szCs w:val="28"/>
        </w:rPr>
        <w:t>Общественный контроль в сфере закупок.</w:t>
      </w:r>
    </w:p>
    <w:p w:rsidR="00E74038" w:rsidRPr="009E7AAB" w:rsidRDefault="00E74038" w:rsidP="00E74038">
      <w:pPr>
        <w:ind w:firstLine="709"/>
        <w:jc w:val="both"/>
        <w:rPr>
          <w:sz w:val="28"/>
          <w:szCs w:val="28"/>
        </w:rPr>
      </w:pPr>
      <w:proofErr w:type="gramStart"/>
      <w:r w:rsidRPr="009E7AAB">
        <w:rPr>
          <w:sz w:val="28"/>
          <w:szCs w:val="28"/>
        </w:rPr>
        <w:t xml:space="preserve">Статьёй 102 «Общественный контроль за соблюдением требований законодательства Российской Федерации и иных нормативных правовых актов </w:t>
      </w:r>
      <w:r w:rsidRPr="009E7AAB">
        <w:rPr>
          <w:sz w:val="28"/>
          <w:szCs w:val="28"/>
        </w:rPr>
        <w:br/>
        <w:t xml:space="preserve">о контрактной системе в сфере закупок» Закона о контрактной системе гражданам, общественным объединениям и объединениям юридических лиц предоставлено право осуществлять общественный контроль за соблюдением законодательства Российской Федерации и иных нормативных правовых актов </w:t>
      </w:r>
      <w:r w:rsidRPr="009E7AAB">
        <w:rPr>
          <w:sz w:val="28"/>
          <w:szCs w:val="28"/>
        </w:rPr>
        <w:br/>
        <w:t xml:space="preserve">о контрактной системе в сфере закупок (далее – общественный контроль). </w:t>
      </w:r>
      <w:proofErr w:type="gramEnd"/>
    </w:p>
    <w:p w:rsidR="00E74038" w:rsidRPr="009E7AAB" w:rsidRDefault="00E74038" w:rsidP="00E74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7AAB">
        <w:rPr>
          <w:bCs/>
          <w:sz w:val="28"/>
          <w:szCs w:val="28"/>
        </w:rPr>
        <w:t>В целях обеспечения возможности общественного контроля в сфере закупок в Свердловской области организовано общественное обсуждение закупок.</w:t>
      </w:r>
    </w:p>
    <w:p w:rsidR="00E74038" w:rsidRPr="00325642" w:rsidRDefault="00E74038" w:rsidP="00E7403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E7AAB">
        <w:rPr>
          <w:sz w:val="28"/>
          <w:szCs w:val="28"/>
        </w:rPr>
        <w:t xml:space="preserve">В 2014–2016 годах в соответствии с пунктом 5 части 3 статьи 112 Закона о контрактной системе действует правило, согласно которому общественному обсуждению подлежат закупки, если начальная (максимальная) цена контракта либо цена контракта, заключаемого с единственным поставщиком (подрядчиком, исполнителем), превышает </w:t>
      </w:r>
      <w:r w:rsidRPr="009E7AAB">
        <w:rPr>
          <w:b/>
          <w:i/>
          <w:sz w:val="28"/>
          <w:szCs w:val="28"/>
        </w:rPr>
        <w:t>1 млрд. рублей</w:t>
      </w:r>
      <w:r w:rsidRPr="009E7A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Общественное обсуждение таких </w:t>
      </w:r>
      <w:r w:rsidRPr="009E7AAB">
        <w:rPr>
          <w:sz w:val="28"/>
          <w:szCs w:val="28"/>
        </w:rPr>
        <w:t>закуп</w:t>
      </w:r>
      <w:r>
        <w:rPr>
          <w:sz w:val="28"/>
          <w:szCs w:val="28"/>
        </w:rPr>
        <w:t>о</w:t>
      </w:r>
      <w:r w:rsidRPr="009E7AAB">
        <w:rPr>
          <w:sz w:val="28"/>
          <w:szCs w:val="28"/>
        </w:rPr>
        <w:t>к провод</w:t>
      </w:r>
      <w:r>
        <w:rPr>
          <w:sz w:val="28"/>
          <w:szCs w:val="28"/>
        </w:rPr>
        <w:t>и</w:t>
      </w:r>
      <w:r w:rsidR="00B11CB7">
        <w:rPr>
          <w:sz w:val="28"/>
          <w:szCs w:val="28"/>
        </w:rPr>
        <w:t xml:space="preserve">лось </w:t>
      </w:r>
      <w:r w:rsidRPr="009E7AAB">
        <w:rPr>
          <w:sz w:val="28"/>
          <w:szCs w:val="28"/>
        </w:rPr>
        <w:t xml:space="preserve"> в </w:t>
      </w:r>
      <w:hyperlink r:id="rId46" w:history="1">
        <w:r w:rsidRPr="009E7AAB">
          <w:rPr>
            <w:sz w:val="28"/>
            <w:szCs w:val="28"/>
          </w:rPr>
          <w:t>порядке</w:t>
        </w:r>
      </w:hyperlink>
      <w:r w:rsidRPr="009E7AAB">
        <w:rPr>
          <w:sz w:val="28"/>
          <w:szCs w:val="28"/>
        </w:rPr>
        <w:t>, утверждённом приказом Минэкономразвития России от 30.10.2015 № 795 «</w:t>
      </w:r>
      <w:r w:rsidRPr="004D018D">
        <w:rPr>
          <w:sz w:val="28"/>
          <w:szCs w:val="28"/>
        </w:rPr>
        <w:t>Об утверждении Порядка обязательного общественного обсуждения закупок товаров, работ, услуг для обеспечения государственных и муниципальных ну</w:t>
      </w:r>
      <w:proofErr w:type="gramStart"/>
      <w:r w:rsidRPr="004D018D">
        <w:rPr>
          <w:sz w:val="28"/>
          <w:szCs w:val="28"/>
        </w:rPr>
        <w:t>жд в сл</w:t>
      </w:r>
      <w:proofErr w:type="gramEnd"/>
      <w:r w:rsidRPr="004D018D">
        <w:rPr>
          <w:sz w:val="28"/>
          <w:szCs w:val="28"/>
        </w:rPr>
        <w:t>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рублей».</w:t>
      </w:r>
      <w:r w:rsidRPr="00325642">
        <w:rPr>
          <w:sz w:val="28"/>
          <w:szCs w:val="28"/>
        </w:rPr>
        <w:t xml:space="preserve"> </w:t>
      </w:r>
    </w:p>
    <w:p w:rsidR="00E74038" w:rsidRPr="009E7AAB" w:rsidRDefault="00E74038" w:rsidP="00E74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AAB">
        <w:rPr>
          <w:iCs/>
          <w:sz w:val="28"/>
          <w:szCs w:val="28"/>
        </w:rPr>
        <w:t>П</w:t>
      </w:r>
      <w:r w:rsidRPr="009E7AAB">
        <w:rPr>
          <w:rFonts w:eastAsia="Calibri"/>
          <w:bCs/>
          <w:iCs/>
          <w:sz w:val="28"/>
          <w:szCs w:val="28"/>
        </w:rPr>
        <w:t xml:space="preserve">остановлением Правительства Свердловской области от </w:t>
      </w:r>
      <w:r w:rsidRPr="009E7AAB">
        <w:rPr>
          <w:sz w:val="28"/>
          <w:szCs w:val="28"/>
        </w:rPr>
        <w:t xml:space="preserve">03.02.2015 </w:t>
      </w:r>
      <w:r>
        <w:rPr>
          <w:sz w:val="28"/>
          <w:szCs w:val="28"/>
        </w:rPr>
        <w:br/>
      </w:r>
      <w:r w:rsidRPr="009E7AAB">
        <w:rPr>
          <w:sz w:val="28"/>
          <w:szCs w:val="28"/>
        </w:rPr>
        <w:t xml:space="preserve">№ 72-ПП </w:t>
      </w:r>
      <w:r w:rsidRPr="004D018D">
        <w:rPr>
          <w:sz w:val="28"/>
          <w:szCs w:val="28"/>
        </w:rPr>
        <w:t xml:space="preserve">«Об установлении случаев и утверждении Порядка проведения обязательного общественного обсуждения закупок товаров, работ, услуг </w:t>
      </w:r>
      <w:r w:rsidRPr="004D018D">
        <w:rPr>
          <w:sz w:val="28"/>
          <w:szCs w:val="28"/>
        </w:rPr>
        <w:br/>
      </w:r>
      <w:r w:rsidRPr="004D018D">
        <w:rPr>
          <w:sz w:val="28"/>
          <w:szCs w:val="28"/>
        </w:rPr>
        <w:lastRenderedPageBreak/>
        <w:t>для обеспечения нужд Свердловской области»</w:t>
      </w:r>
      <w:r w:rsidRPr="009E7AAB">
        <w:rPr>
          <w:sz w:val="28"/>
          <w:szCs w:val="28"/>
        </w:rPr>
        <w:t xml:space="preserve"> установлено, что обязательное общественное обсуждение закупок для обеспечения нужд Свердловской области проводится в случаях осуществления закупок при проведении электронного аукциона, открытого конкурса, конкурса с ограниченным участием, двухэтапного конкурса, если начальная (максимальная) цена контракта составляет</w:t>
      </w:r>
      <w:proofErr w:type="gramEnd"/>
      <w:r w:rsidRPr="009E7AA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E7AAB">
        <w:rPr>
          <w:b/>
          <w:i/>
          <w:sz w:val="28"/>
          <w:szCs w:val="28"/>
        </w:rPr>
        <w:t>от 300 млн. руб. до 1 млрд. рублей</w:t>
      </w:r>
      <w:r w:rsidRPr="009E7AAB">
        <w:rPr>
          <w:sz w:val="28"/>
          <w:szCs w:val="28"/>
        </w:rPr>
        <w:t xml:space="preserve"> (включительно). </w:t>
      </w:r>
    </w:p>
    <w:p w:rsidR="00E74038" w:rsidRPr="009E7AAB" w:rsidRDefault="00E74038" w:rsidP="00E74038">
      <w:pPr>
        <w:ind w:firstLine="709"/>
        <w:jc w:val="both"/>
        <w:rPr>
          <w:sz w:val="28"/>
          <w:szCs w:val="28"/>
        </w:rPr>
      </w:pPr>
      <w:r w:rsidRPr="009E7AAB">
        <w:rPr>
          <w:sz w:val="28"/>
          <w:szCs w:val="28"/>
        </w:rPr>
        <w:t xml:space="preserve">В целях проведения общественного обсуждения на официальном сайте Департамента </w:t>
      </w:r>
      <w:proofErr w:type="spellStart"/>
      <w:r w:rsidRPr="009E7AAB">
        <w:rPr>
          <w:color w:val="000000" w:themeColor="text1"/>
          <w:sz w:val="28"/>
          <w:szCs w:val="28"/>
        </w:rPr>
        <w:t>госзакупок</w:t>
      </w:r>
      <w:proofErr w:type="spellEnd"/>
      <w:r w:rsidRPr="009E7AAB">
        <w:rPr>
          <w:sz w:val="28"/>
          <w:szCs w:val="28"/>
        </w:rPr>
        <w:t xml:space="preserve"> Свердловской об</w:t>
      </w:r>
      <w:r w:rsidR="00B11CB7">
        <w:rPr>
          <w:sz w:val="28"/>
          <w:szCs w:val="28"/>
        </w:rPr>
        <w:t xml:space="preserve">ласти www.goszakaz.midural.ru вёлся в 2016 году </w:t>
      </w:r>
      <w:r w:rsidRPr="009E7AAB">
        <w:rPr>
          <w:sz w:val="28"/>
          <w:szCs w:val="28"/>
        </w:rPr>
        <w:t xml:space="preserve"> раздел «Обязательное общественное обсуждение закупок».</w:t>
      </w:r>
    </w:p>
    <w:p w:rsidR="00E74038" w:rsidRPr="009E7AAB" w:rsidRDefault="00E74038" w:rsidP="00E7403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9E7AAB">
        <w:rPr>
          <w:rFonts w:eastAsia="Calibri"/>
          <w:bCs/>
          <w:iCs/>
          <w:sz w:val="28"/>
          <w:szCs w:val="28"/>
        </w:rPr>
        <w:t xml:space="preserve">Предметом общественного обсуждения закупок является: </w:t>
      </w:r>
    </w:p>
    <w:p w:rsidR="00E74038" w:rsidRPr="009E7AAB" w:rsidRDefault="00E74038" w:rsidP="00E74038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– </w:t>
      </w:r>
      <w:r w:rsidRPr="009E7AAB">
        <w:rPr>
          <w:rFonts w:eastAsia="Calibri"/>
          <w:bCs/>
          <w:iCs/>
          <w:sz w:val="28"/>
          <w:szCs w:val="28"/>
        </w:rPr>
        <w:t xml:space="preserve">целесообразность закупки; </w:t>
      </w:r>
    </w:p>
    <w:p w:rsidR="00E74038" w:rsidRPr="009E7AAB" w:rsidRDefault="00E74038" w:rsidP="00E74038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– </w:t>
      </w:r>
      <w:r w:rsidRPr="009E7AAB">
        <w:rPr>
          <w:rFonts w:eastAsia="Calibri"/>
          <w:bCs/>
          <w:iCs/>
          <w:sz w:val="28"/>
          <w:szCs w:val="28"/>
        </w:rPr>
        <w:t>соответствие закупки требованиям законодательства Российской Федерации и иных нормативных правовых актов о контрактной системе в сфере закупок;</w:t>
      </w:r>
    </w:p>
    <w:p w:rsidR="00E74038" w:rsidRPr="009E7AAB" w:rsidRDefault="00E74038" w:rsidP="00E74038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– </w:t>
      </w:r>
      <w:r w:rsidRPr="009E7AAB">
        <w:rPr>
          <w:rFonts w:eastAsia="Calibri"/>
          <w:bCs/>
          <w:iCs/>
          <w:sz w:val="28"/>
          <w:szCs w:val="28"/>
        </w:rPr>
        <w:t>соответствие закупки целям и мероприятиям, предусмотренным государственными программами Свердловской области, иными документами стратегического и программно-целевого планирования Свердловской области;</w:t>
      </w:r>
    </w:p>
    <w:p w:rsidR="00E74038" w:rsidRPr="009E7AAB" w:rsidRDefault="00E74038" w:rsidP="00E74038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– </w:t>
      </w:r>
      <w:r w:rsidRPr="009E7AAB">
        <w:rPr>
          <w:rFonts w:eastAsia="Calibri"/>
          <w:bCs/>
          <w:iCs/>
          <w:sz w:val="28"/>
          <w:szCs w:val="28"/>
        </w:rPr>
        <w:t>соответствие закупки функциям и полномочиям государственных органов Свердловской области;</w:t>
      </w:r>
    </w:p>
    <w:p w:rsidR="00E74038" w:rsidRPr="009E7AAB" w:rsidRDefault="00E74038" w:rsidP="00E74038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– </w:t>
      </w:r>
      <w:r w:rsidRPr="009E7AAB">
        <w:rPr>
          <w:rFonts w:eastAsia="Calibri"/>
          <w:bCs/>
          <w:iCs/>
          <w:sz w:val="28"/>
          <w:szCs w:val="28"/>
        </w:rPr>
        <w:t xml:space="preserve">соответствие сведений об объекте закупки нормативным затратам </w:t>
      </w:r>
      <w:r w:rsidRPr="009E7AAB">
        <w:rPr>
          <w:rFonts w:eastAsia="Calibri"/>
          <w:bCs/>
          <w:iCs/>
          <w:sz w:val="28"/>
          <w:szCs w:val="28"/>
        </w:rPr>
        <w:br/>
        <w:t xml:space="preserve">на обеспечение функций, деятельности заказчика (при наличии соответствующих правил нормирования и требований к закупаемым товарам, работам, услугам </w:t>
      </w:r>
      <w:r>
        <w:rPr>
          <w:rFonts w:eastAsia="Calibri"/>
          <w:bCs/>
          <w:iCs/>
          <w:sz w:val="28"/>
          <w:szCs w:val="28"/>
        </w:rPr>
        <w:br/>
      </w:r>
      <w:r w:rsidRPr="009E7AAB">
        <w:rPr>
          <w:rFonts w:eastAsia="Calibri"/>
          <w:bCs/>
          <w:iCs/>
          <w:sz w:val="28"/>
          <w:szCs w:val="28"/>
        </w:rPr>
        <w:t>(в том числе предельной цены товаров, работ, услуг) и (или) нормативных затрат на обеспечение функций заказчиков).</w:t>
      </w:r>
    </w:p>
    <w:p w:rsidR="00E74038" w:rsidRDefault="00E74038" w:rsidP="00E74038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sz w:val="28"/>
          <w:szCs w:val="28"/>
        </w:rPr>
      </w:pPr>
    </w:p>
    <w:p w:rsidR="008745F7" w:rsidRDefault="008745F7" w:rsidP="00BC21BD">
      <w:pPr>
        <w:pStyle w:val="ae"/>
        <w:autoSpaceDE w:val="0"/>
        <w:autoSpaceDN w:val="0"/>
        <w:adjustRightInd w:val="0"/>
        <w:ind w:left="709"/>
        <w:jc w:val="center"/>
        <w:rPr>
          <w:b/>
          <w:i/>
          <w:sz w:val="28"/>
          <w:szCs w:val="28"/>
        </w:rPr>
      </w:pPr>
      <w:r w:rsidRPr="00BC21BD">
        <w:rPr>
          <w:b/>
          <w:i/>
          <w:sz w:val="28"/>
          <w:szCs w:val="28"/>
        </w:rPr>
        <w:t>Общественное обсуждение закупок Свердловской области в 2014–201</w:t>
      </w:r>
      <w:r w:rsidR="00BC21BD">
        <w:rPr>
          <w:b/>
          <w:i/>
          <w:sz w:val="28"/>
          <w:szCs w:val="28"/>
        </w:rPr>
        <w:t>6</w:t>
      </w:r>
      <w:r w:rsidRPr="00BC21BD">
        <w:rPr>
          <w:b/>
          <w:i/>
          <w:sz w:val="28"/>
          <w:szCs w:val="28"/>
        </w:rPr>
        <w:t xml:space="preserve"> годах</w:t>
      </w:r>
    </w:p>
    <w:tbl>
      <w:tblPr>
        <w:tblStyle w:val="af5"/>
        <w:tblW w:w="10314" w:type="dxa"/>
        <w:tblLook w:val="04A0" w:firstRow="1" w:lastRow="0" w:firstColumn="1" w:lastColumn="0" w:noHBand="0" w:noVBand="1"/>
      </w:tblPr>
      <w:tblGrid>
        <w:gridCol w:w="2336"/>
        <w:gridCol w:w="2336"/>
        <w:gridCol w:w="2807"/>
        <w:gridCol w:w="2835"/>
      </w:tblGrid>
      <w:tr w:rsidR="00E74038" w:rsidRPr="00991F7F" w:rsidTr="001C277C">
        <w:tc>
          <w:tcPr>
            <w:tcW w:w="233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Начальная (максимальная) цена контракта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</w:tr>
      <w:tr w:rsidR="00E74038" w:rsidRPr="00991F7F" w:rsidTr="001C277C">
        <w:tc>
          <w:tcPr>
            <w:tcW w:w="2336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от 300 млн. рублей</w:t>
            </w:r>
          </w:p>
        </w:tc>
        <w:tc>
          <w:tcPr>
            <w:tcW w:w="2336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не проводились</w:t>
            </w:r>
          </w:p>
        </w:tc>
        <w:tc>
          <w:tcPr>
            <w:tcW w:w="2807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 xml:space="preserve">для государственных нужд – 10 закупок на сумму 5,75 </w:t>
            </w:r>
            <w:proofErr w:type="gramStart"/>
            <w:r w:rsidRPr="00991F7F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991F7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 xml:space="preserve">для государственных нужд – 7 закупок на сумму 3,44 </w:t>
            </w:r>
            <w:proofErr w:type="gramStart"/>
            <w:r w:rsidRPr="00991F7F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991F7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E74038" w:rsidRPr="00991F7F" w:rsidTr="001C277C">
        <w:tc>
          <w:tcPr>
            <w:tcW w:w="2336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>от 1 млрд. рублей</w:t>
            </w:r>
          </w:p>
        </w:tc>
        <w:tc>
          <w:tcPr>
            <w:tcW w:w="2336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 xml:space="preserve">для государственных нужд не проводились, для муниципальных нужд – 1 закупка на сумму 12,5 </w:t>
            </w:r>
            <w:proofErr w:type="gramStart"/>
            <w:r w:rsidRPr="00991F7F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991F7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807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 xml:space="preserve">для государственных нужд 16 закупок на сумму 42,73 </w:t>
            </w:r>
            <w:proofErr w:type="gramStart"/>
            <w:r w:rsidRPr="00991F7F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991F7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E74038" w:rsidRPr="00991F7F" w:rsidRDefault="00E74038" w:rsidP="00C330E4">
            <w:pPr>
              <w:pStyle w:val="af6"/>
              <w:tabs>
                <w:tab w:val="left" w:pos="12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F7F">
              <w:rPr>
                <w:rFonts w:ascii="Times New Roman" w:hAnsi="Times New Roman"/>
                <w:sz w:val="28"/>
                <w:szCs w:val="28"/>
              </w:rPr>
              <w:t xml:space="preserve">для государственных нужд 1 закупка на сумму 4,76 </w:t>
            </w:r>
            <w:proofErr w:type="gramStart"/>
            <w:r w:rsidRPr="00991F7F">
              <w:rPr>
                <w:rFonts w:ascii="Times New Roman" w:hAnsi="Times New Roman"/>
                <w:sz w:val="28"/>
                <w:szCs w:val="28"/>
              </w:rPr>
              <w:t>млрд</w:t>
            </w:r>
            <w:proofErr w:type="gramEnd"/>
            <w:r w:rsidRPr="00991F7F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E74038" w:rsidRDefault="00E74038" w:rsidP="00526F77">
      <w:pPr>
        <w:pStyle w:val="af6"/>
        <w:tabs>
          <w:tab w:val="left" w:pos="851"/>
          <w:tab w:val="left" w:pos="1200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C277C" w:rsidRPr="00991F7F" w:rsidRDefault="001C277C" w:rsidP="001C277C">
      <w:pPr>
        <w:pStyle w:val="af6"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1F7F">
        <w:rPr>
          <w:rFonts w:ascii="Times New Roman" w:hAnsi="Times New Roman"/>
          <w:sz w:val="28"/>
          <w:szCs w:val="28"/>
        </w:rPr>
        <w:lastRenderedPageBreak/>
        <w:t>Необходимо отметить, что за весь период 2015 и 2016 годов по результатам проведенных процедур общественного обсуждения закупок для государственных нужд, вопросов, предложений и мнений не поступало, что говорит о низкой активности институтов гражданского общества при реализации своих прав на общественный контроль.</w:t>
      </w:r>
    </w:p>
    <w:p w:rsidR="001C277C" w:rsidRPr="00991F7F" w:rsidRDefault="001C277C" w:rsidP="001C277C">
      <w:pPr>
        <w:pStyle w:val="af6"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77C" w:rsidRPr="001C277C" w:rsidRDefault="001C277C" w:rsidP="001C277C">
      <w:pPr>
        <w:pStyle w:val="af6"/>
        <w:tabs>
          <w:tab w:val="left" w:pos="1200"/>
        </w:tabs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C277C">
        <w:rPr>
          <w:rFonts w:ascii="Times New Roman" w:hAnsi="Times New Roman"/>
          <w:b/>
          <w:i/>
          <w:sz w:val="28"/>
          <w:szCs w:val="28"/>
        </w:rPr>
        <w:t>Информация о крупной закупке, обсуждение которой проводилось в 2016 году</w:t>
      </w:r>
    </w:p>
    <w:p w:rsidR="001C277C" w:rsidRPr="00991F7F" w:rsidRDefault="001C277C" w:rsidP="001C277C">
      <w:pPr>
        <w:pStyle w:val="af6"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03BD">
        <w:rPr>
          <w:rFonts w:eastAsia="Calibri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BF26BE" wp14:editId="6A3E0D3B">
                <wp:simplePos x="0" y="0"/>
                <wp:positionH relativeFrom="column">
                  <wp:posOffset>20320</wp:posOffset>
                </wp:positionH>
                <wp:positionV relativeFrom="paragraph">
                  <wp:posOffset>4445</wp:posOffset>
                </wp:positionV>
                <wp:extent cx="6096000" cy="1238250"/>
                <wp:effectExtent l="76200" t="38100" r="95250" b="114300"/>
                <wp:wrapNone/>
                <wp:docPr id="28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38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3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21" w:rsidRDefault="00377021" w:rsidP="001C277C">
                            <w:pPr>
                              <w:pStyle w:val="af9"/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>
                              <w:t xml:space="preserve">ГКУ </w:t>
                            </w:r>
                            <w:proofErr w:type="gramStart"/>
                            <w:r>
                              <w:t>СО</w:t>
                            </w:r>
                            <w:proofErr w:type="gramEnd"/>
                            <w:r>
                              <w:t xml:space="preserve"> "Управление автомобильных дорог"</w:t>
                            </w:r>
                          </w:p>
                          <w:p w:rsidR="00377021" w:rsidRDefault="00377021" w:rsidP="001C277C">
                            <w:pPr>
                              <w:pStyle w:val="af9"/>
                              <w:kinsoku w:val="0"/>
                              <w:overflowPunct w:val="0"/>
                              <w:spacing w:before="0" w:beforeAutospacing="0" w:after="0"/>
                              <w:jc w:val="center"/>
                              <w:textAlignment w:val="baseline"/>
                            </w:pPr>
                            <w:r>
                              <w:t>Выполнение работ по реконструкции автомобильной дороги вокруг г. Екатеринбург на участке</w:t>
                            </w:r>
                            <w:proofErr w:type="gramStart"/>
                            <w:r>
                              <w:t xml:space="preserve"> С</w:t>
                            </w:r>
                            <w:proofErr w:type="gramEnd"/>
                            <w:r>
                              <w:t>емь Ключей - Большой Исток на территории муниципального образования город Екатеринбург Свердловской области на сумму 4,76 млрд. рублей</w:t>
                            </w:r>
                          </w:p>
                        </w:txbxContent>
                      </wps:txbx>
                      <wps:bodyPr wrap="square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7" style="position:absolute;left:0;text-align:left;margin-left:1.6pt;margin-top:.35pt;width:480pt;height:9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" fillcolor="#dbe5f1 [660]" stroked="f">
                <v:fill color2="#d6e2f0 [756]" rotate="t" colors="0 #dce6f2;6554f #dce6f2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377021" w:rsidRDefault="00377021" w:rsidP="001C277C">
                      <w:pPr>
                        <w:pStyle w:val="af9"/>
                        <w:kinsoku w:val="0"/>
                        <w:overflowPunct w:val="0"/>
                        <w:jc w:val="center"/>
                        <w:textAlignment w:val="baseline"/>
                      </w:pPr>
                      <w:r>
                        <w:t xml:space="preserve">ГКУ </w:t>
                      </w:r>
                      <w:proofErr w:type="gramStart"/>
                      <w:r>
                        <w:t>СО</w:t>
                      </w:r>
                      <w:proofErr w:type="gramEnd"/>
                      <w:r>
                        <w:t xml:space="preserve"> "Управление автомобильных дорог"</w:t>
                      </w:r>
                    </w:p>
                    <w:p w:rsidR="00377021" w:rsidRDefault="00377021" w:rsidP="001C277C">
                      <w:pPr>
                        <w:pStyle w:val="af9"/>
                        <w:kinsoku w:val="0"/>
                        <w:overflowPunct w:val="0"/>
                        <w:spacing w:before="0" w:beforeAutospacing="0" w:after="0"/>
                        <w:jc w:val="center"/>
                        <w:textAlignment w:val="baseline"/>
                      </w:pPr>
                      <w:r>
                        <w:t>Выполнение работ по реконструкции автомобильной дороги вокруг г. Екатеринбург на участке</w:t>
                      </w:r>
                      <w:proofErr w:type="gramStart"/>
                      <w:r>
                        <w:t xml:space="preserve"> С</w:t>
                      </w:r>
                      <w:proofErr w:type="gramEnd"/>
                      <w:r>
                        <w:t>емь Ключей - Большой Исток на территории муниципального образования город Екатеринбург Свердловской области на сумму 4,76 млрд.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BC4" w:rsidRDefault="009B0BC4" w:rsidP="00C11B4B">
      <w:pPr>
        <w:pStyle w:val="af6"/>
        <w:tabs>
          <w:tab w:val="left" w:pos="1200"/>
        </w:tabs>
        <w:ind w:left="99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C277C" w:rsidRDefault="001C277C" w:rsidP="00C11B4B">
      <w:pPr>
        <w:pStyle w:val="af6"/>
        <w:tabs>
          <w:tab w:val="left" w:pos="1200"/>
        </w:tabs>
        <w:ind w:left="99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C277C" w:rsidRDefault="001C277C" w:rsidP="00C11B4B">
      <w:pPr>
        <w:pStyle w:val="af6"/>
        <w:tabs>
          <w:tab w:val="left" w:pos="1200"/>
        </w:tabs>
        <w:ind w:left="99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C277C" w:rsidRDefault="001C277C" w:rsidP="00C11B4B">
      <w:pPr>
        <w:pStyle w:val="af6"/>
        <w:tabs>
          <w:tab w:val="left" w:pos="1200"/>
        </w:tabs>
        <w:ind w:left="99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C21BD" w:rsidRDefault="00BC21BD" w:rsidP="00C11B4B">
      <w:pPr>
        <w:pStyle w:val="af6"/>
        <w:tabs>
          <w:tab w:val="left" w:pos="1200"/>
        </w:tabs>
        <w:ind w:left="993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6837" w:rsidRDefault="00806837" w:rsidP="00BC21BD">
      <w:pPr>
        <w:ind w:firstLine="709"/>
        <w:jc w:val="both"/>
        <w:rPr>
          <w:b/>
          <w:i/>
          <w:sz w:val="28"/>
          <w:szCs w:val="28"/>
        </w:rPr>
      </w:pPr>
    </w:p>
    <w:p w:rsidR="005A4CD1" w:rsidRDefault="005A4CD1" w:rsidP="00567E17">
      <w:pPr>
        <w:pStyle w:val="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6837" w:rsidRPr="005A4CD1" w:rsidRDefault="00567E17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A4CD1">
        <w:rPr>
          <w:rFonts w:ascii="Times New Roman" w:hAnsi="Times New Roman" w:cs="Times New Roman"/>
          <w:i/>
          <w:color w:val="auto"/>
          <w:sz w:val="28"/>
          <w:szCs w:val="28"/>
        </w:rPr>
        <w:t>Раздел 7. Основные выводы</w:t>
      </w:r>
    </w:p>
    <w:p w:rsidR="00BC21BD" w:rsidRPr="00BA57A9" w:rsidRDefault="00BC21BD" w:rsidP="00BC21BD">
      <w:pPr>
        <w:ind w:firstLine="709"/>
        <w:jc w:val="both"/>
        <w:rPr>
          <w:b/>
          <w:i/>
          <w:sz w:val="28"/>
          <w:szCs w:val="28"/>
        </w:rPr>
      </w:pPr>
      <w:r w:rsidRPr="00BA57A9">
        <w:rPr>
          <w:b/>
          <w:i/>
          <w:sz w:val="28"/>
          <w:szCs w:val="28"/>
        </w:rPr>
        <w:t xml:space="preserve">Таким образом, контрактная система в сфере закупок </w:t>
      </w:r>
      <w:r>
        <w:rPr>
          <w:b/>
          <w:i/>
          <w:sz w:val="28"/>
          <w:szCs w:val="28"/>
        </w:rPr>
        <w:br/>
      </w:r>
      <w:r w:rsidRPr="00BA57A9">
        <w:rPr>
          <w:b/>
          <w:i/>
          <w:sz w:val="28"/>
          <w:szCs w:val="28"/>
        </w:rPr>
        <w:t>на территории Свердловской области в основном сформирована</w:t>
      </w:r>
      <w:r>
        <w:rPr>
          <w:b/>
          <w:i/>
          <w:sz w:val="28"/>
          <w:szCs w:val="28"/>
        </w:rPr>
        <w:t>.</w:t>
      </w:r>
      <w:r w:rsidRPr="00BA57A9">
        <w:rPr>
          <w:b/>
          <w:i/>
          <w:sz w:val="28"/>
          <w:szCs w:val="28"/>
        </w:rPr>
        <w:t xml:space="preserve"> </w:t>
      </w:r>
    </w:p>
    <w:p w:rsidR="00BC21BD" w:rsidRDefault="00BC21BD" w:rsidP="00BC21BD">
      <w:pPr>
        <w:ind w:firstLine="709"/>
        <w:jc w:val="both"/>
        <w:rPr>
          <w:b/>
          <w:i/>
          <w:iCs/>
          <w:sz w:val="28"/>
          <w:szCs w:val="28"/>
        </w:rPr>
      </w:pPr>
      <w:r w:rsidRPr="00BA57A9">
        <w:rPr>
          <w:b/>
          <w:i/>
          <w:iCs/>
          <w:sz w:val="28"/>
          <w:szCs w:val="28"/>
        </w:rPr>
        <w:t xml:space="preserve">Разработана обязательная областная нормативная правовая база в сфере закупок. </w:t>
      </w:r>
    </w:p>
    <w:p w:rsidR="00BC21BD" w:rsidRPr="00BA57A9" w:rsidRDefault="00BC21BD" w:rsidP="00BC21BD">
      <w:pPr>
        <w:ind w:firstLine="709"/>
        <w:jc w:val="both"/>
        <w:rPr>
          <w:b/>
          <w:i/>
          <w:iCs/>
          <w:sz w:val="28"/>
          <w:szCs w:val="28"/>
        </w:rPr>
      </w:pPr>
      <w:r w:rsidRPr="00BA57A9">
        <w:rPr>
          <w:b/>
          <w:i/>
          <w:iCs/>
          <w:sz w:val="28"/>
          <w:szCs w:val="28"/>
        </w:rPr>
        <w:t xml:space="preserve">В рамках контрактной системы созданы </w:t>
      </w:r>
      <w:r>
        <w:rPr>
          <w:b/>
          <w:i/>
          <w:iCs/>
          <w:sz w:val="28"/>
          <w:szCs w:val="28"/>
        </w:rPr>
        <w:t xml:space="preserve">и функционируют </w:t>
      </w:r>
      <w:r w:rsidRPr="00BA57A9">
        <w:rPr>
          <w:b/>
          <w:i/>
          <w:iCs/>
          <w:sz w:val="28"/>
          <w:szCs w:val="28"/>
        </w:rPr>
        <w:t xml:space="preserve">все обязательные структуры. </w:t>
      </w:r>
      <w:proofErr w:type="gramStart"/>
      <w:r w:rsidRPr="00BA57A9">
        <w:rPr>
          <w:b/>
          <w:i/>
          <w:iCs/>
          <w:sz w:val="28"/>
          <w:szCs w:val="28"/>
        </w:rPr>
        <w:t xml:space="preserve">На областном уровне определены: орган, уполномоченный на регулирование контрактной системы в сфере закупок </w:t>
      </w:r>
      <w:r w:rsidRPr="00BA57A9">
        <w:rPr>
          <w:b/>
          <w:i/>
          <w:sz w:val="28"/>
          <w:szCs w:val="28"/>
        </w:rPr>
        <w:t>(Департамент государственных закупок Свердловской области)</w:t>
      </w:r>
      <w:r w:rsidRPr="00BA57A9">
        <w:rPr>
          <w:b/>
          <w:i/>
          <w:iCs/>
          <w:sz w:val="28"/>
          <w:szCs w:val="28"/>
        </w:rPr>
        <w:t>, орган контроля в сфере закупок и орган внутреннего государственного финансового контроля в сфере закупок (Министерство финансов Свердловской области), орган аудита в сфере закупок (Счётная палата Свердловской области).</w:t>
      </w:r>
      <w:proofErr w:type="gramEnd"/>
      <w:r>
        <w:rPr>
          <w:b/>
          <w:i/>
          <w:iCs/>
          <w:sz w:val="28"/>
          <w:szCs w:val="28"/>
        </w:rPr>
        <w:t xml:space="preserve"> </w:t>
      </w:r>
      <w:r w:rsidRPr="00BA57A9">
        <w:rPr>
          <w:b/>
          <w:i/>
          <w:iCs/>
          <w:sz w:val="28"/>
          <w:szCs w:val="28"/>
        </w:rPr>
        <w:t xml:space="preserve">Заказчиками сформированы контрактные службы (назначены контрактные управляющие). </w:t>
      </w:r>
    </w:p>
    <w:p w:rsidR="00BC21BD" w:rsidRPr="00BA57A9" w:rsidRDefault="00BC21BD" w:rsidP="00BC21BD">
      <w:pPr>
        <w:autoSpaceDE w:val="0"/>
        <w:autoSpaceDN w:val="0"/>
        <w:adjustRightInd w:val="0"/>
        <w:ind w:firstLine="709"/>
        <w:jc w:val="both"/>
        <w:outlineLvl w:val="0"/>
        <w:rPr>
          <w:b/>
          <w:i/>
          <w:color w:val="FF0000"/>
          <w:sz w:val="28"/>
          <w:szCs w:val="28"/>
          <w:highlight w:val="yellow"/>
        </w:rPr>
      </w:pPr>
      <w:r w:rsidRPr="00BA57A9">
        <w:rPr>
          <w:b/>
          <w:i/>
          <w:iCs/>
          <w:sz w:val="28"/>
          <w:szCs w:val="28"/>
        </w:rPr>
        <w:t xml:space="preserve">Конкурентными способами в Свердловской области осуществляется </w:t>
      </w:r>
      <w:r>
        <w:rPr>
          <w:b/>
          <w:i/>
          <w:iCs/>
          <w:sz w:val="28"/>
          <w:szCs w:val="28"/>
        </w:rPr>
        <w:t>90,3</w:t>
      </w:r>
      <w:r w:rsidRPr="00BA57A9">
        <w:rPr>
          <w:b/>
          <w:i/>
          <w:iCs/>
          <w:sz w:val="28"/>
          <w:szCs w:val="28"/>
        </w:rPr>
        <w:t xml:space="preserve"> процента закупок по количеству извещений и </w:t>
      </w:r>
      <w:r>
        <w:rPr>
          <w:b/>
          <w:i/>
          <w:iCs/>
          <w:sz w:val="28"/>
          <w:szCs w:val="28"/>
        </w:rPr>
        <w:t>93,5</w:t>
      </w:r>
      <w:r w:rsidRPr="00BA57A9">
        <w:rPr>
          <w:b/>
          <w:i/>
          <w:iCs/>
          <w:sz w:val="28"/>
          <w:szCs w:val="28"/>
        </w:rPr>
        <w:t xml:space="preserve"> процента – по сумме закупок (без учёта закупок малого объёма).</w:t>
      </w:r>
      <w:r w:rsidRPr="00BA57A9">
        <w:rPr>
          <w:b/>
          <w:i/>
          <w:sz w:val="28"/>
          <w:szCs w:val="28"/>
        </w:rPr>
        <w:t xml:space="preserve"> Основным способом определения поставщиков (подрядчиков, исполнителей) как в 2015 году, так и в 2016 год</w:t>
      </w:r>
      <w:r>
        <w:rPr>
          <w:b/>
          <w:i/>
          <w:sz w:val="28"/>
          <w:szCs w:val="28"/>
        </w:rPr>
        <w:t>у</w:t>
      </w:r>
      <w:r w:rsidRPr="00BA57A9">
        <w:rPr>
          <w:b/>
          <w:i/>
          <w:sz w:val="28"/>
          <w:szCs w:val="28"/>
        </w:rPr>
        <w:t xml:space="preserve"> является электронный аукцион. </w:t>
      </w:r>
    </w:p>
    <w:p w:rsidR="00BC21BD" w:rsidRPr="004126CA" w:rsidRDefault="00BC21BD" w:rsidP="00BC21BD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Контрактная система в Свердловской области стала действенным механизмом поддержки субъектов малого предпринимательства. </w:t>
      </w:r>
      <w:r w:rsidRPr="00BA57A9">
        <w:rPr>
          <w:b/>
          <w:i/>
          <w:sz w:val="28"/>
          <w:szCs w:val="28"/>
        </w:rPr>
        <w:t xml:space="preserve">Объём закупок у субъектов малого предпринимательства или социально ориентированных некоммерческих </w:t>
      </w:r>
      <w:r w:rsidRPr="006541EE">
        <w:rPr>
          <w:b/>
          <w:i/>
          <w:sz w:val="28"/>
          <w:szCs w:val="28"/>
        </w:rPr>
        <w:t xml:space="preserve">организаций при размещении государственных и муниципальных закупок в 2015 году составил </w:t>
      </w:r>
      <w:r w:rsidRPr="006541EE">
        <w:rPr>
          <w:b/>
          <w:i/>
          <w:sz w:val="28"/>
          <w:szCs w:val="28"/>
        </w:rPr>
        <w:br/>
        <w:t xml:space="preserve">15,6 процента, в </w:t>
      </w:r>
      <w:r w:rsidRPr="006541EE">
        <w:rPr>
          <w:b/>
          <w:i/>
          <w:color w:val="000000" w:themeColor="text1"/>
          <w:sz w:val="28"/>
          <w:szCs w:val="28"/>
        </w:rPr>
        <w:t xml:space="preserve">2016 году – </w:t>
      </w:r>
      <w:r>
        <w:rPr>
          <w:b/>
          <w:i/>
          <w:color w:val="000000" w:themeColor="text1"/>
          <w:sz w:val="28"/>
          <w:szCs w:val="28"/>
        </w:rPr>
        <w:t>17,9</w:t>
      </w:r>
      <w:r w:rsidRPr="006541EE">
        <w:rPr>
          <w:b/>
          <w:i/>
          <w:color w:val="000000" w:themeColor="text1"/>
          <w:sz w:val="28"/>
          <w:szCs w:val="28"/>
        </w:rPr>
        <w:t xml:space="preserve"> процента (б</w:t>
      </w:r>
      <w:r w:rsidRPr="004126CA">
        <w:rPr>
          <w:b/>
          <w:i/>
          <w:color w:val="000000" w:themeColor="text1"/>
          <w:sz w:val="28"/>
          <w:szCs w:val="28"/>
        </w:rPr>
        <w:t>ез учёта объёма закупок, размещённы</w:t>
      </w:r>
      <w:r>
        <w:rPr>
          <w:b/>
          <w:i/>
          <w:color w:val="000000" w:themeColor="text1"/>
          <w:sz w:val="28"/>
          <w:szCs w:val="28"/>
        </w:rPr>
        <w:t>х</w:t>
      </w:r>
      <w:r w:rsidRPr="004126CA">
        <w:rPr>
          <w:b/>
          <w:i/>
          <w:color w:val="000000" w:themeColor="text1"/>
          <w:sz w:val="28"/>
          <w:szCs w:val="28"/>
        </w:rPr>
        <w:t xml:space="preserve"> у </w:t>
      </w:r>
      <w:r w:rsidRPr="004126CA">
        <w:rPr>
          <w:b/>
          <w:i/>
          <w:sz w:val="28"/>
          <w:szCs w:val="28"/>
        </w:rPr>
        <w:t xml:space="preserve">субъектов малого предпринимательства </w:t>
      </w:r>
      <w:r>
        <w:rPr>
          <w:b/>
          <w:i/>
          <w:sz w:val="28"/>
          <w:szCs w:val="28"/>
        </w:rPr>
        <w:br/>
      </w:r>
      <w:r w:rsidRPr="004126CA">
        <w:rPr>
          <w:b/>
          <w:i/>
          <w:sz w:val="28"/>
          <w:szCs w:val="28"/>
        </w:rPr>
        <w:lastRenderedPageBreak/>
        <w:t xml:space="preserve">и социально ориентированных некоммерческих организаций </w:t>
      </w:r>
      <w:r w:rsidRPr="004126CA">
        <w:rPr>
          <w:b/>
          <w:i/>
          <w:color w:val="000000" w:themeColor="text1"/>
          <w:sz w:val="28"/>
          <w:szCs w:val="28"/>
        </w:rPr>
        <w:t xml:space="preserve">при привлечении их на условиях субподряда). </w:t>
      </w:r>
    </w:p>
    <w:p w:rsidR="00BC21BD" w:rsidRPr="00BA57A9" w:rsidRDefault="00BC21BD" w:rsidP="00BC21BD">
      <w:pPr>
        <w:ind w:firstLine="709"/>
        <w:jc w:val="both"/>
        <w:rPr>
          <w:b/>
          <w:i/>
          <w:iCs/>
          <w:sz w:val="28"/>
          <w:szCs w:val="28"/>
        </w:rPr>
      </w:pPr>
      <w:r w:rsidRPr="00BA57A9">
        <w:rPr>
          <w:b/>
          <w:i/>
          <w:iCs/>
          <w:sz w:val="28"/>
          <w:szCs w:val="28"/>
        </w:rPr>
        <w:t>Введена в эксплуатацию информационная система</w:t>
      </w:r>
      <w:r w:rsidR="00C63ADC">
        <w:rPr>
          <w:b/>
          <w:i/>
          <w:iCs/>
          <w:sz w:val="28"/>
          <w:szCs w:val="28"/>
        </w:rPr>
        <w:t xml:space="preserve"> в сфере закупок Свердловской области</w:t>
      </w:r>
      <w:r w:rsidRPr="00BA57A9">
        <w:rPr>
          <w:b/>
          <w:i/>
          <w:iCs/>
          <w:sz w:val="28"/>
          <w:szCs w:val="28"/>
        </w:rPr>
        <w:t>, интегрирован</w:t>
      </w:r>
      <w:r>
        <w:rPr>
          <w:b/>
          <w:i/>
          <w:iCs/>
          <w:sz w:val="28"/>
          <w:szCs w:val="28"/>
        </w:rPr>
        <w:t>н</w:t>
      </w:r>
      <w:r w:rsidRPr="00BA57A9">
        <w:rPr>
          <w:b/>
          <w:i/>
          <w:iCs/>
          <w:sz w:val="28"/>
          <w:szCs w:val="28"/>
        </w:rPr>
        <w:t>а</w:t>
      </w:r>
      <w:r>
        <w:rPr>
          <w:b/>
          <w:i/>
          <w:iCs/>
          <w:sz w:val="28"/>
          <w:szCs w:val="28"/>
        </w:rPr>
        <w:t>я с Е</w:t>
      </w:r>
      <w:r w:rsidRPr="00BA57A9">
        <w:rPr>
          <w:b/>
          <w:i/>
          <w:iCs/>
          <w:sz w:val="28"/>
          <w:szCs w:val="28"/>
        </w:rPr>
        <w:t>диной информационной системой</w:t>
      </w:r>
      <w:r>
        <w:rPr>
          <w:b/>
          <w:i/>
          <w:iCs/>
          <w:sz w:val="28"/>
          <w:szCs w:val="28"/>
        </w:rPr>
        <w:t xml:space="preserve"> в сфере закупок и</w:t>
      </w:r>
      <w:r w:rsidRPr="00BA57A9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программным комплексом </w:t>
      </w:r>
      <w:r w:rsidRPr="00BA57A9">
        <w:rPr>
          <w:b/>
          <w:i/>
          <w:iCs/>
          <w:sz w:val="28"/>
          <w:szCs w:val="28"/>
        </w:rPr>
        <w:t>«Бюджет</w:t>
      </w:r>
      <w:r>
        <w:rPr>
          <w:b/>
          <w:i/>
          <w:iCs/>
          <w:sz w:val="28"/>
          <w:szCs w:val="28"/>
        </w:rPr>
        <w:t>-</w:t>
      </w:r>
      <w:r w:rsidRPr="00BA57A9">
        <w:rPr>
          <w:b/>
          <w:i/>
          <w:iCs/>
          <w:sz w:val="28"/>
          <w:szCs w:val="28"/>
        </w:rPr>
        <w:t>Смарт»</w:t>
      </w:r>
      <w:r>
        <w:rPr>
          <w:b/>
          <w:i/>
          <w:iCs/>
          <w:sz w:val="28"/>
          <w:szCs w:val="28"/>
        </w:rPr>
        <w:t>,</w:t>
      </w:r>
      <w:r w:rsidRPr="00CC0D87">
        <w:rPr>
          <w:sz w:val="28"/>
          <w:szCs w:val="28"/>
        </w:rPr>
        <w:t xml:space="preserve"> </w:t>
      </w:r>
      <w:r w:rsidRPr="00CC0D87">
        <w:rPr>
          <w:b/>
          <w:i/>
          <w:sz w:val="28"/>
          <w:szCs w:val="28"/>
        </w:rPr>
        <w:t>использующимся в Свердловской области для автоматизации процессов составления, анализа и исполнения бюджета</w:t>
      </w:r>
      <w:r w:rsidRPr="00BA57A9">
        <w:rPr>
          <w:b/>
          <w:i/>
          <w:iCs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>С 2016 года в</w:t>
      </w:r>
      <w:r w:rsidRPr="00BA57A9">
        <w:rPr>
          <w:b/>
          <w:i/>
          <w:iCs/>
          <w:sz w:val="28"/>
          <w:szCs w:val="28"/>
        </w:rPr>
        <w:t xml:space="preserve">есь цикл закупок от планирования </w:t>
      </w:r>
      <w:r>
        <w:rPr>
          <w:b/>
          <w:i/>
          <w:iCs/>
          <w:sz w:val="28"/>
          <w:szCs w:val="28"/>
        </w:rPr>
        <w:t>до и</w:t>
      </w:r>
      <w:r w:rsidRPr="00BA57A9">
        <w:rPr>
          <w:b/>
          <w:i/>
          <w:iCs/>
          <w:sz w:val="28"/>
          <w:szCs w:val="28"/>
        </w:rPr>
        <w:t>сполнени</w:t>
      </w:r>
      <w:r>
        <w:rPr>
          <w:b/>
          <w:i/>
          <w:iCs/>
          <w:sz w:val="28"/>
          <w:szCs w:val="28"/>
        </w:rPr>
        <w:t>я</w:t>
      </w:r>
      <w:r w:rsidRPr="00BA57A9">
        <w:rPr>
          <w:b/>
          <w:i/>
          <w:iCs/>
          <w:sz w:val="28"/>
          <w:szCs w:val="28"/>
        </w:rPr>
        <w:t xml:space="preserve"> контракта проходит через </w:t>
      </w:r>
      <w:r w:rsidR="00C63ADC" w:rsidRPr="00BA57A9">
        <w:rPr>
          <w:b/>
          <w:i/>
          <w:iCs/>
          <w:sz w:val="28"/>
          <w:szCs w:val="28"/>
        </w:rPr>
        <w:t>информационн</w:t>
      </w:r>
      <w:r w:rsidR="00C63ADC">
        <w:rPr>
          <w:b/>
          <w:i/>
          <w:iCs/>
          <w:sz w:val="28"/>
          <w:szCs w:val="28"/>
        </w:rPr>
        <w:t>ую</w:t>
      </w:r>
      <w:r w:rsidR="00C63ADC" w:rsidRPr="00BA57A9">
        <w:rPr>
          <w:b/>
          <w:i/>
          <w:iCs/>
          <w:sz w:val="28"/>
          <w:szCs w:val="28"/>
        </w:rPr>
        <w:t xml:space="preserve"> систем</w:t>
      </w:r>
      <w:r w:rsidR="00C63ADC">
        <w:rPr>
          <w:b/>
          <w:i/>
          <w:iCs/>
          <w:sz w:val="28"/>
          <w:szCs w:val="28"/>
        </w:rPr>
        <w:t>у в сфере закупок Свердловской области</w:t>
      </w:r>
      <w:r w:rsidRPr="00BA57A9">
        <w:rPr>
          <w:b/>
          <w:i/>
          <w:iCs/>
          <w:sz w:val="28"/>
          <w:szCs w:val="28"/>
        </w:rPr>
        <w:t>.</w:t>
      </w:r>
    </w:p>
    <w:p w:rsidR="00BC21BD" w:rsidRPr="00BA57A9" w:rsidRDefault="00BC21BD" w:rsidP="00BC21BD">
      <w:pPr>
        <w:ind w:firstLine="709"/>
        <w:jc w:val="both"/>
        <w:rPr>
          <w:b/>
          <w:i/>
          <w:sz w:val="28"/>
          <w:szCs w:val="28"/>
        </w:rPr>
      </w:pPr>
      <w:r w:rsidRPr="00BA57A9">
        <w:rPr>
          <w:b/>
          <w:i/>
          <w:iCs/>
          <w:sz w:val="28"/>
          <w:szCs w:val="28"/>
        </w:rPr>
        <w:t xml:space="preserve">В целях осуществления общественного контроля, в том числе </w:t>
      </w:r>
      <w:r>
        <w:rPr>
          <w:b/>
          <w:i/>
          <w:iCs/>
          <w:sz w:val="28"/>
          <w:szCs w:val="28"/>
        </w:rPr>
        <w:br/>
      </w:r>
      <w:r w:rsidRPr="00BA57A9">
        <w:rPr>
          <w:b/>
          <w:i/>
          <w:iCs/>
          <w:sz w:val="28"/>
          <w:szCs w:val="28"/>
        </w:rPr>
        <w:t>в сфере закупок, при всех областных исполнительных органах государственной власти созданы общественные советы. В</w:t>
      </w:r>
      <w:r w:rsidRPr="00BA57A9">
        <w:rPr>
          <w:b/>
          <w:i/>
          <w:sz w:val="28"/>
          <w:szCs w:val="28"/>
        </w:rPr>
        <w:t>озможность осуществления общественного контроля в сфере закупок обеспечивается органами государственной власти Свердловской области путём размещения информации о закупках в Единой информационной системе в сфере закупок.</w:t>
      </w:r>
      <w:r>
        <w:rPr>
          <w:b/>
          <w:i/>
          <w:sz w:val="28"/>
          <w:szCs w:val="28"/>
        </w:rPr>
        <w:t xml:space="preserve"> </w:t>
      </w:r>
      <w:r w:rsidRPr="00BA57A9">
        <w:rPr>
          <w:b/>
          <w:i/>
          <w:iCs/>
          <w:sz w:val="28"/>
          <w:szCs w:val="28"/>
        </w:rPr>
        <w:t xml:space="preserve">Свердловская область вошла в число регионов, которые воспользовались правом установления иных случаев общественного обсуждения закупок (в Свердловской области – от 300 млн. рублей). </w:t>
      </w:r>
    </w:p>
    <w:p w:rsidR="00BC21BD" w:rsidRPr="0057799C" w:rsidRDefault="00BC21BD" w:rsidP="00BC21BD">
      <w:pPr>
        <w:ind w:firstLine="709"/>
        <w:jc w:val="both"/>
        <w:rPr>
          <w:b/>
          <w:i/>
          <w:sz w:val="28"/>
          <w:szCs w:val="28"/>
        </w:rPr>
      </w:pPr>
      <w:r w:rsidRPr="00DA32DD">
        <w:rPr>
          <w:b/>
          <w:i/>
          <w:sz w:val="28"/>
          <w:szCs w:val="28"/>
        </w:rPr>
        <w:t>В 201</w:t>
      </w:r>
      <w:r>
        <w:rPr>
          <w:b/>
          <w:i/>
          <w:sz w:val="28"/>
          <w:szCs w:val="28"/>
        </w:rPr>
        <w:t>6</w:t>
      </w:r>
      <w:r w:rsidRPr="00DA32DD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 xml:space="preserve">по </w:t>
      </w:r>
      <w:r w:rsidRPr="00DA32DD">
        <w:rPr>
          <w:b/>
          <w:i/>
          <w:sz w:val="28"/>
          <w:szCs w:val="28"/>
        </w:rPr>
        <w:t>сравнени</w:t>
      </w:r>
      <w:r>
        <w:rPr>
          <w:b/>
          <w:i/>
          <w:sz w:val="28"/>
          <w:szCs w:val="28"/>
        </w:rPr>
        <w:t>ю</w:t>
      </w:r>
      <w:r w:rsidRPr="00DA32DD">
        <w:rPr>
          <w:b/>
          <w:i/>
          <w:sz w:val="28"/>
          <w:szCs w:val="28"/>
        </w:rPr>
        <w:t xml:space="preserve"> с 201</w:t>
      </w:r>
      <w:r>
        <w:rPr>
          <w:b/>
          <w:i/>
          <w:sz w:val="28"/>
          <w:szCs w:val="28"/>
        </w:rPr>
        <w:t>5</w:t>
      </w:r>
      <w:r w:rsidRPr="00DA32DD">
        <w:rPr>
          <w:b/>
          <w:i/>
          <w:sz w:val="28"/>
          <w:szCs w:val="28"/>
        </w:rPr>
        <w:t xml:space="preserve"> годом наблюда</w:t>
      </w:r>
      <w:r>
        <w:rPr>
          <w:b/>
          <w:i/>
          <w:sz w:val="28"/>
          <w:szCs w:val="28"/>
        </w:rPr>
        <w:t>лась</w:t>
      </w:r>
      <w:r w:rsidRPr="00DA32DD">
        <w:rPr>
          <w:b/>
          <w:i/>
          <w:sz w:val="28"/>
          <w:szCs w:val="28"/>
        </w:rPr>
        <w:t xml:space="preserve"> положительная динамика реализации функции ведомственного контроля исполнительными органами государственной власти Свердловской области.</w:t>
      </w:r>
      <w:r>
        <w:rPr>
          <w:b/>
          <w:i/>
          <w:sz w:val="28"/>
          <w:szCs w:val="28"/>
        </w:rPr>
        <w:t xml:space="preserve"> </w:t>
      </w:r>
      <w:r w:rsidRPr="0057799C">
        <w:rPr>
          <w:b/>
          <w:i/>
          <w:sz w:val="28"/>
          <w:szCs w:val="28"/>
        </w:rPr>
        <w:t xml:space="preserve">Наиболее активно </w:t>
      </w:r>
      <w:r>
        <w:rPr>
          <w:b/>
          <w:i/>
          <w:sz w:val="28"/>
          <w:szCs w:val="28"/>
        </w:rPr>
        <w:br/>
      </w:r>
      <w:r w:rsidRPr="0057799C">
        <w:rPr>
          <w:b/>
          <w:i/>
          <w:sz w:val="28"/>
          <w:szCs w:val="28"/>
        </w:rPr>
        <w:t xml:space="preserve">и качественно контроль подведомственных заказчиков осуществляли: </w:t>
      </w:r>
      <w:r>
        <w:rPr>
          <w:b/>
          <w:i/>
          <w:sz w:val="28"/>
          <w:szCs w:val="28"/>
        </w:rPr>
        <w:br/>
      </w:r>
      <w:r w:rsidRPr="0057799C">
        <w:rPr>
          <w:b/>
          <w:i/>
          <w:sz w:val="28"/>
          <w:szCs w:val="28"/>
        </w:rPr>
        <w:t xml:space="preserve">Министерство природных ресурсов и экологии Свердловской области, Департамент общественной безопасности Свердловской области </w:t>
      </w:r>
      <w:r>
        <w:rPr>
          <w:b/>
          <w:i/>
          <w:sz w:val="28"/>
          <w:szCs w:val="28"/>
        </w:rPr>
        <w:br/>
      </w:r>
      <w:r w:rsidRPr="0057799C">
        <w:rPr>
          <w:b/>
          <w:i/>
          <w:sz w:val="28"/>
          <w:szCs w:val="28"/>
        </w:rPr>
        <w:t>и Департамент лесного хозяйства Свердловской области.</w:t>
      </w:r>
    </w:p>
    <w:p w:rsidR="00BC21BD" w:rsidRPr="00593A74" w:rsidRDefault="00BC21BD" w:rsidP="00BC21BD">
      <w:pPr>
        <w:ind w:firstLine="709"/>
        <w:jc w:val="both"/>
        <w:rPr>
          <w:b/>
          <w:i/>
          <w:sz w:val="28"/>
          <w:szCs w:val="28"/>
        </w:rPr>
      </w:pPr>
      <w:r w:rsidRPr="00593A74">
        <w:rPr>
          <w:b/>
          <w:i/>
          <w:sz w:val="28"/>
          <w:szCs w:val="28"/>
        </w:rPr>
        <w:t xml:space="preserve">Вместе с тем результаты мониторинга и контроля в сфере закупок свидетельствуют о том, что контрактная система в Свердловской области остаётся недостаточно эффективной. </w:t>
      </w:r>
    </w:p>
    <w:p w:rsidR="00BC21BD" w:rsidRPr="009971B1" w:rsidRDefault="00BC21BD" w:rsidP="00BC21B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9971B1">
        <w:rPr>
          <w:b/>
          <w:i/>
          <w:sz w:val="28"/>
          <w:szCs w:val="28"/>
        </w:rPr>
        <w:t xml:space="preserve">По сравнению с показателями 2015 года уровень централизации </w:t>
      </w:r>
      <w:r>
        <w:rPr>
          <w:b/>
          <w:i/>
          <w:sz w:val="28"/>
          <w:szCs w:val="28"/>
        </w:rPr>
        <w:br/>
      </w:r>
      <w:r w:rsidRPr="009971B1">
        <w:rPr>
          <w:b/>
          <w:i/>
          <w:sz w:val="28"/>
          <w:szCs w:val="28"/>
        </w:rPr>
        <w:t xml:space="preserve">в Свердловской области снизился </w:t>
      </w:r>
      <w:r>
        <w:rPr>
          <w:b/>
          <w:i/>
          <w:sz w:val="28"/>
          <w:szCs w:val="28"/>
        </w:rPr>
        <w:t xml:space="preserve">на 22,4 процента (с 71 </w:t>
      </w:r>
      <w:r w:rsidRPr="009971B1">
        <w:rPr>
          <w:b/>
          <w:i/>
          <w:sz w:val="28"/>
          <w:szCs w:val="28"/>
        </w:rPr>
        <w:t>уполномоченн</w:t>
      </w:r>
      <w:r>
        <w:rPr>
          <w:b/>
          <w:i/>
          <w:sz w:val="28"/>
          <w:szCs w:val="28"/>
        </w:rPr>
        <w:t>ого</w:t>
      </w:r>
      <w:r w:rsidRPr="009971B1">
        <w:rPr>
          <w:b/>
          <w:i/>
          <w:sz w:val="28"/>
          <w:szCs w:val="28"/>
        </w:rPr>
        <w:t xml:space="preserve"> орган</w:t>
      </w:r>
      <w:r>
        <w:rPr>
          <w:b/>
          <w:i/>
          <w:sz w:val="28"/>
          <w:szCs w:val="28"/>
        </w:rPr>
        <w:t>а</w:t>
      </w:r>
      <w:r w:rsidRPr="009971B1">
        <w:rPr>
          <w:b/>
          <w:i/>
          <w:sz w:val="28"/>
          <w:szCs w:val="28"/>
        </w:rPr>
        <w:t xml:space="preserve"> в 2015 году </w:t>
      </w:r>
      <w:r>
        <w:rPr>
          <w:b/>
          <w:i/>
          <w:sz w:val="28"/>
          <w:szCs w:val="28"/>
        </w:rPr>
        <w:t>до 58 в 2016 году)</w:t>
      </w:r>
      <w:r w:rsidRPr="009971B1">
        <w:rPr>
          <w:b/>
          <w:i/>
          <w:sz w:val="28"/>
          <w:szCs w:val="28"/>
        </w:rPr>
        <w:t xml:space="preserve">. </w:t>
      </w:r>
    </w:p>
    <w:p w:rsidR="00BC21BD" w:rsidRPr="00953BAE" w:rsidRDefault="00BC21BD" w:rsidP="00BC21BD">
      <w:pPr>
        <w:ind w:firstLine="709"/>
        <w:jc w:val="both"/>
        <w:rPr>
          <w:b/>
          <w:i/>
          <w:sz w:val="28"/>
          <w:szCs w:val="28"/>
        </w:rPr>
      </w:pPr>
      <w:r w:rsidRPr="00953BAE">
        <w:rPr>
          <w:b/>
          <w:i/>
          <w:sz w:val="28"/>
          <w:szCs w:val="28"/>
        </w:rPr>
        <w:t>Наиболее проблемными по количеству допускаемых заказчиками нарушений являются конкурсные процедуры определения поставщика (подрядчика, исполнителя)</w:t>
      </w:r>
      <w:r>
        <w:rPr>
          <w:b/>
          <w:i/>
          <w:sz w:val="28"/>
          <w:szCs w:val="28"/>
        </w:rPr>
        <w:t xml:space="preserve">, что </w:t>
      </w:r>
      <w:r w:rsidRPr="00953BAE">
        <w:rPr>
          <w:b/>
          <w:i/>
          <w:sz w:val="28"/>
          <w:szCs w:val="28"/>
        </w:rPr>
        <w:t>связано как с низкой подготовкой специалистов заказчика</w:t>
      </w:r>
      <w:r w:rsidRPr="003F761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</w:t>
      </w:r>
      <w:r w:rsidRPr="00BA57A9">
        <w:rPr>
          <w:b/>
          <w:bCs/>
          <w:i/>
          <w:iCs/>
          <w:sz w:val="28"/>
          <w:szCs w:val="28"/>
        </w:rPr>
        <w:t xml:space="preserve">особенно работников государственных </w:t>
      </w:r>
      <w:r>
        <w:rPr>
          <w:b/>
          <w:bCs/>
          <w:i/>
          <w:iCs/>
          <w:sz w:val="28"/>
          <w:szCs w:val="28"/>
        </w:rPr>
        <w:br/>
      </w:r>
      <w:r w:rsidRPr="00BA57A9">
        <w:rPr>
          <w:b/>
          <w:bCs/>
          <w:i/>
          <w:iCs/>
          <w:sz w:val="28"/>
          <w:szCs w:val="28"/>
        </w:rPr>
        <w:t>учреждений</w:t>
      </w:r>
      <w:r>
        <w:rPr>
          <w:b/>
          <w:bCs/>
          <w:i/>
          <w:iCs/>
          <w:sz w:val="28"/>
          <w:szCs w:val="28"/>
        </w:rPr>
        <w:t>)</w:t>
      </w:r>
      <w:r w:rsidRPr="00953BAE">
        <w:rPr>
          <w:b/>
          <w:i/>
          <w:sz w:val="28"/>
          <w:szCs w:val="28"/>
        </w:rPr>
        <w:t xml:space="preserve">, так и со стремлением заказчиков </w:t>
      </w:r>
      <w:proofErr w:type="gramStart"/>
      <w:r w:rsidRPr="00953BAE">
        <w:rPr>
          <w:b/>
          <w:i/>
          <w:sz w:val="28"/>
          <w:szCs w:val="28"/>
        </w:rPr>
        <w:t>установить преимущественные условия</w:t>
      </w:r>
      <w:proofErr w:type="gramEnd"/>
      <w:r w:rsidRPr="00953BAE">
        <w:rPr>
          <w:b/>
          <w:i/>
          <w:sz w:val="28"/>
          <w:szCs w:val="28"/>
        </w:rPr>
        <w:t xml:space="preserve"> определ</w:t>
      </w:r>
      <w:r>
        <w:rPr>
          <w:b/>
          <w:i/>
          <w:sz w:val="28"/>
          <w:szCs w:val="28"/>
        </w:rPr>
        <w:t>ё</w:t>
      </w:r>
      <w:r w:rsidRPr="00953BAE">
        <w:rPr>
          <w:b/>
          <w:i/>
          <w:sz w:val="28"/>
          <w:szCs w:val="28"/>
        </w:rPr>
        <w:t>нному поставщику (подрядчику, исполнителю).</w:t>
      </w:r>
    </w:p>
    <w:p w:rsidR="00BC21BD" w:rsidRPr="00DE0B89" w:rsidRDefault="00BC21BD" w:rsidP="00BC21BD">
      <w:pPr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Несмотря на то, что в Свердловской области созданы условия </w:t>
      </w:r>
      <w:r>
        <w:rPr>
          <w:b/>
          <w:i/>
          <w:sz w:val="28"/>
          <w:szCs w:val="28"/>
        </w:rPr>
        <w:br/>
        <w:t xml:space="preserve">для общественного обсуждения закупок, институт общественного контроля в сфере закупок не заработал в полную силу. По итогам </w:t>
      </w:r>
      <w:r w:rsidRPr="00DE0B89">
        <w:rPr>
          <w:b/>
          <w:bCs/>
          <w:i/>
          <w:color w:val="000000" w:themeColor="text1"/>
          <w:sz w:val="28"/>
          <w:szCs w:val="28"/>
        </w:rPr>
        <w:t xml:space="preserve">проведённых </w:t>
      </w:r>
      <w:r>
        <w:rPr>
          <w:b/>
          <w:bCs/>
          <w:i/>
          <w:color w:val="000000" w:themeColor="text1"/>
          <w:sz w:val="28"/>
          <w:szCs w:val="28"/>
        </w:rPr>
        <w:br/>
        <w:t>в</w:t>
      </w:r>
      <w:r>
        <w:rPr>
          <w:b/>
          <w:i/>
          <w:sz w:val="28"/>
          <w:szCs w:val="28"/>
        </w:rPr>
        <w:t xml:space="preserve"> </w:t>
      </w:r>
      <w:r w:rsidRPr="00DE0B89">
        <w:rPr>
          <w:b/>
          <w:bCs/>
          <w:i/>
          <w:color w:val="000000" w:themeColor="text1"/>
          <w:sz w:val="28"/>
          <w:szCs w:val="28"/>
        </w:rPr>
        <w:t xml:space="preserve">2015 году и </w:t>
      </w:r>
      <w:r>
        <w:rPr>
          <w:b/>
          <w:bCs/>
          <w:i/>
          <w:color w:val="000000" w:themeColor="text1"/>
          <w:sz w:val="28"/>
          <w:szCs w:val="28"/>
        </w:rPr>
        <w:t>в</w:t>
      </w:r>
      <w:r w:rsidRPr="00DE0B89">
        <w:rPr>
          <w:b/>
          <w:bCs/>
          <w:i/>
          <w:color w:val="000000" w:themeColor="text1"/>
          <w:sz w:val="28"/>
          <w:szCs w:val="28"/>
        </w:rPr>
        <w:t xml:space="preserve"> 2016 год</w:t>
      </w:r>
      <w:r>
        <w:rPr>
          <w:b/>
          <w:bCs/>
          <w:i/>
          <w:color w:val="000000" w:themeColor="text1"/>
          <w:sz w:val="28"/>
          <w:szCs w:val="28"/>
        </w:rPr>
        <w:t>у</w:t>
      </w:r>
      <w:r w:rsidRPr="00DE0B89">
        <w:rPr>
          <w:b/>
          <w:bCs/>
          <w:i/>
          <w:color w:val="000000" w:themeColor="text1"/>
          <w:sz w:val="28"/>
          <w:szCs w:val="28"/>
        </w:rPr>
        <w:t xml:space="preserve"> процедур общественного обсуждения закупок для нужд </w:t>
      </w:r>
      <w:r>
        <w:rPr>
          <w:b/>
          <w:bCs/>
          <w:i/>
          <w:color w:val="000000" w:themeColor="text1"/>
          <w:sz w:val="28"/>
          <w:szCs w:val="28"/>
        </w:rPr>
        <w:t xml:space="preserve">Свердловской области </w:t>
      </w:r>
      <w:r w:rsidRPr="00DE0B89">
        <w:rPr>
          <w:b/>
          <w:bCs/>
          <w:i/>
          <w:color w:val="000000" w:themeColor="text1"/>
          <w:sz w:val="28"/>
          <w:szCs w:val="28"/>
        </w:rPr>
        <w:t xml:space="preserve">предложений и мнений граждан </w:t>
      </w:r>
      <w:r>
        <w:rPr>
          <w:b/>
          <w:bCs/>
          <w:i/>
          <w:color w:val="000000" w:themeColor="text1"/>
          <w:sz w:val="28"/>
          <w:szCs w:val="28"/>
        </w:rPr>
        <w:br/>
      </w:r>
      <w:r w:rsidRPr="00DE0B89">
        <w:rPr>
          <w:b/>
          <w:bCs/>
          <w:i/>
          <w:color w:val="000000" w:themeColor="text1"/>
          <w:sz w:val="28"/>
          <w:szCs w:val="28"/>
        </w:rPr>
        <w:t>и организаций не поступ</w:t>
      </w:r>
      <w:r>
        <w:rPr>
          <w:b/>
          <w:bCs/>
          <w:i/>
          <w:color w:val="000000" w:themeColor="text1"/>
          <w:sz w:val="28"/>
          <w:szCs w:val="28"/>
        </w:rPr>
        <w:t>и</w:t>
      </w:r>
      <w:r w:rsidRPr="00DE0B89">
        <w:rPr>
          <w:b/>
          <w:bCs/>
          <w:i/>
          <w:color w:val="000000" w:themeColor="text1"/>
          <w:sz w:val="28"/>
          <w:szCs w:val="28"/>
        </w:rPr>
        <w:t>ло.</w:t>
      </w:r>
    </w:p>
    <w:p w:rsidR="00BC21BD" w:rsidRDefault="00BC21BD" w:rsidP="00BC21B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Отсутствие единообразной практики применения законодательства </w:t>
      </w:r>
      <w:r>
        <w:rPr>
          <w:b/>
          <w:i/>
          <w:sz w:val="28"/>
          <w:szCs w:val="28"/>
        </w:rPr>
        <w:br/>
        <w:t xml:space="preserve">в сфере закупок связано, в частности, с отсутствием на федеральном уровне органа, уполномоченного на официальное толкование норм законодательства о контрактной системе. </w:t>
      </w:r>
    </w:p>
    <w:p w:rsidR="00BC21BD" w:rsidRDefault="00BC21BD" w:rsidP="00BC21B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Усугубляет ситуацию нестабильность Закона о контрактной системе, что связано с внесением в него многочисленных изменений (35 раз с начала действия Закона о контрактной системе, в том числе 14 раз в 2016 году).</w:t>
      </w:r>
    </w:p>
    <w:p w:rsidR="00BC21BD" w:rsidRDefault="00BC21BD" w:rsidP="00BC21BD">
      <w:pPr>
        <w:ind w:firstLine="709"/>
        <w:jc w:val="both"/>
        <w:rPr>
          <w:sz w:val="28"/>
          <w:szCs w:val="28"/>
        </w:rPr>
      </w:pPr>
    </w:p>
    <w:p w:rsidR="00B759D8" w:rsidRPr="001D5845" w:rsidRDefault="00C11B4B" w:rsidP="00567E17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D58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Раздел </w:t>
      </w:r>
      <w:r w:rsidR="00567E17" w:rsidRPr="001D5845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Pr="001D58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FD7A3E" w:rsidRPr="001D58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Реализация </w:t>
      </w:r>
      <w:r w:rsidR="00103169" w:rsidRPr="001D58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государственной </w:t>
      </w:r>
      <w:r w:rsidR="00FD7A3E" w:rsidRPr="001D5845">
        <w:rPr>
          <w:rFonts w:ascii="Times New Roman" w:hAnsi="Times New Roman" w:cs="Times New Roman"/>
          <w:i/>
          <w:color w:val="auto"/>
          <w:sz w:val="28"/>
          <w:szCs w:val="28"/>
        </w:rPr>
        <w:t>программ</w:t>
      </w:r>
      <w:r w:rsidR="00103169" w:rsidRPr="001D5845">
        <w:rPr>
          <w:rFonts w:ascii="Times New Roman" w:hAnsi="Times New Roman" w:cs="Times New Roman"/>
          <w:i/>
          <w:color w:val="auto"/>
          <w:sz w:val="28"/>
          <w:szCs w:val="28"/>
        </w:rPr>
        <w:t>ы</w:t>
      </w:r>
      <w:r w:rsidR="00FD7A3E" w:rsidRPr="001D584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 сфере закупок.</w:t>
      </w:r>
    </w:p>
    <w:p w:rsidR="00D60E5A" w:rsidRPr="00B759D8" w:rsidRDefault="00D60E5A" w:rsidP="00E44817">
      <w:pPr>
        <w:pStyle w:val="af6"/>
        <w:tabs>
          <w:tab w:val="left" w:pos="1200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6BA" w:rsidRPr="007E2272" w:rsidRDefault="00FD7A3E" w:rsidP="00B759D8">
      <w:pPr>
        <w:pStyle w:val="af6"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59D8">
        <w:rPr>
          <w:rFonts w:ascii="Times New Roman" w:hAnsi="Times New Roman"/>
          <w:sz w:val="28"/>
          <w:szCs w:val="28"/>
        </w:rPr>
        <w:t xml:space="preserve">С </w:t>
      </w:r>
      <w:r w:rsidRPr="007E2272">
        <w:rPr>
          <w:rFonts w:ascii="Times New Roman" w:hAnsi="Times New Roman"/>
          <w:sz w:val="28"/>
          <w:szCs w:val="28"/>
        </w:rPr>
        <w:t xml:space="preserve">2014 года действует государственная программа Свердловской области «Совершенствование механизмов осуществления закупок товаров, работ, услуг для государственных нужд Свердловской области до 2020 года», утверждённая </w:t>
      </w:r>
      <w:r w:rsidRPr="007E2272">
        <w:rPr>
          <w:rFonts w:ascii="Times New Roman" w:hAnsi="Times New Roman" w:cs="Times New Roman"/>
          <w:iCs/>
          <w:sz w:val="28"/>
          <w:szCs w:val="28"/>
        </w:rPr>
        <w:t>п</w:t>
      </w:r>
      <w:r w:rsidRPr="007E2272">
        <w:rPr>
          <w:rFonts w:ascii="Times New Roman" w:hAnsi="Times New Roman"/>
          <w:sz w:val="28"/>
          <w:szCs w:val="28"/>
        </w:rPr>
        <w:t xml:space="preserve">остановлением Правительства Свердловской области от 21.10.2013 № 1274-ПП. </w:t>
      </w:r>
      <w:r w:rsidRPr="007E227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B8126C" w:rsidRPr="007E2272">
        <w:rPr>
          <w:rFonts w:ascii="Times New Roman" w:hAnsi="Times New Roman" w:cs="Times New Roman"/>
          <w:sz w:val="28"/>
          <w:szCs w:val="28"/>
        </w:rPr>
        <w:t>указанной</w:t>
      </w:r>
      <w:r w:rsidRPr="007E22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2541D" w:rsidRPr="007E2272">
        <w:rPr>
          <w:rFonts w:ascii="Times New Roman" w:hAnsi="Times New Roman" w:cs="Times New Roman"/>
          <w:sz w:val="28"/>
          <w:szCs w:val="28"/>
        </w:rPr>
        <w:t>ы</w:t>
      </w:r>
      <w:r w:rsidRPr="007E227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7E2272">
        <w:rPr>
          <w:rFonts w:ascii="Times New Roman" w:hAnsi="Times New Roman"/>
          <w:sz w:val="28"/>
          <w:szCs w:val="28"/>
        </w:rPr>
        <w:t>централизация закупок через уполномоченный орган, создание региональной информационной системы в сфере закупок, интегрированной с единой информационной системой</w:t>
      </w:r>
      <w:r w:rsidR="00A2541D" w:rsidRPr="007E2272">
        <w:rPr>
          <w:rFonts w:ascii="Times New Roman" w:hAnsi="Times New Roman"/>
          <w:sz w:val="28"/>
          <w:szCs w:val="28"/>
        </w:rPr>
        <w:t xml:space="preserve">, </w:t>
      </w:r>
      <w:r w:rsidRPr="007E2272">
        <w:rPr>
          <w:rFonts w:ascii="Times New Roman" w:hAnsi="Times New Roman"/>
          <w:sz w:val="28"/>
          <w:szCs w:val="28"/>
        </w:rPr>
        <w:t>оказание методологической помощи заказчикам (Прилож</w:t>
      </w:r>
      <w:r w:rsidR="00AC53F4" w:rsidRPr="007E2272">
        <w:rPr>
          <w:rFonts w:ascii="Times New Roman" w:hAnsi="Times New Roman"/>
          <w:sz w:val="28"/>
          <w:szCs w:val="28"/>
        </w:rPr>
        <w:t>ение № 1</w:t>
      </w:r>
      <w:r w:rsidRPr="007E2272">
        <w:rPr>
          <w:rFonts w:ascii="Times New Roman" w:hAnsi="Times New Roman"/>
          <w:sz w:val="28"/>
          <w:szCs w:val="28"/>
        </w:rPr>
        <w:t xml:space="preserve">). </w:t>
      </w:r>
    </w:p>
    <w:p w:rsidR="00293316" w:rsidRPr="007E2272" w:rsidRDefault="00293316" w:rsidP="00293316">
      <w:pPr>
        <w:pStyle w:val="ae"/>
        <w:ind w:left="0" w:firstLine="709"/>
        <w:jc w:val="both"/>
        <w:rPr>
          <w:bCs/>
          <w:sz w:val="28"/>
          <w:szCs w:val="28"/>
        </w:rPr>
      </w:pPr>
      <w:r w:rsidRPr="007E2272">
        <w:rPr>
          <w:bCs/>
          <w:sz w:val="28"/>
          <w:szCs w:val="28"/>
        </w:rPr>
        <w:t xml:space="preserve">Несмотря на кризисные процессы в экономике страны, практически </w:t>
      </w:r>
      <w:proofErr w:type="gramStart"/>
      <w:r w:rsidRPr="007E2272">
        <w:rPr>
          <w:bCs/>
          <w:sz w:val="28"/>
          <w:szCs w:val="28"/>
        </w:rPr>
        <w:t>все показатели, характеризующие работу Департамента</w:t>
      </w:r>
      <w:r w:rsidR="00FD6D98" w:rsidRPr="007E2272">
        <w:rPr>
          <w:bCs/>
          <w:sz w:val="28"/>
          <w:szCs w:val="28"/>
        </w:rPr>
        <w:t xml:space="preserve"> </w:t>
      </w:r>
      <w:proofErr w:type="spellStart"/>
      <w:r w:rsidR="00FD6D98" w:rsidRPr="007E2272">
        <w:rPr>
          <w:bCs/>
          <w:sz w:val="28"/>
          <w:szCs w:val="28"/>
        </w:rPr>
        <w:t>госзакупок</w:t>
      </w:r>
      <w:proofErr w:type="spellEnd"/>
      <w:r w:rsidR="00FD6D98" w:rsidRPr="007E2272">
        <w:rPr>
          <w:bCs/>
          <w:sz w:val="28"/>
          <w:szCs w:val="28"/>
        </w:rPr>
        <w:t xml:space="preserve"> Свердловской области</w:t>
      </w:r>
      <w:r w:rsidRPr="007E2272">
        <w:rPr>
          <w:bCs/>
          <w:sz w:val="28"/>
          <w:szCs w:val="28"/>
        </w:rPr>
        <w:t xml:space="preserve"> выполнены</w:t>
      </w:r>
      <w:proofErr w:type="gramEnd"/>
      <w:r w:rsidRPr="007E2272">
        <w:rPr>
          <w:bCs/>
          <w:sz w:val="28"/>
          <w:szCs w:val="28"/>
        </w:rPr>
        <w:t>.</w:t>
      </w:r>
    </w:p>
    <w:p w:rsidR="00293316" w:rsidRPr="007E2272" w:rsidRDefault="00293316" w:rsidP="00293316">
      <w:pPr>
        <w:pStyle w:val="ae"/>
        <w:ind w:left="0" w:firstLine="709"/>
        <w:jc w:val="both"/>
        <w:rPr>
          <w:bCs/>
          <w:sz w:val="28"/>
          <w:szCs w:val="28"/>
        </w:rPr>
      </w:pPr>
      <w:r w:rsidRPr="007E2272">
        <w:rPr>
          <w:bCs/>
          <w:sz w:val="28"/>
          <w:szCs w:val="28"/>
        </w:rPr>
        <w:t>Динамика выполнения целевых показателей Департамента</w:t>
      </w:r>
      <w:r w:rsidR="00FD6D98" w:rsidRPr="007E2272">
        <w:rPr>
          <w:bCs/>
          <w:sz w:val="28"/>
          <w:szCs w:val="28"/>
        </w:rPr>
        <w:t xml:space="preserve"> </w:t>
      </w:r>
      <w:proofErr w:type="spellStart"/>
      <w:r w:rsidR="00FD6D98" w:rsidRPr="007E2272">
        <w:rPr>
          <w:bCs/>
          <w:sz w:val="28"/>
          <w:szCs w:val="28"/>
        </w:rPr>
        <w:t>госзакупок</w:t>
      </w:r>
      <w:proofErr w:type="spellEnd"/>
      <w:r w:rsidR="00FD6D98" w:rsidRPr="007E2272">
        <w:rPr>
          <w:bCs/>
          <w:sz w:val="28"/>
          <w:szCs w:val="28"/>
        </w:rPr>
        <w:t xml:space="preserve"> Свердловской области</w:t>
      </w:r>
      <w:r w:rsidRPr="007E2272">
        <w:rPr>
          <w:bCs/>
          <w:sz w:val="28"/>
          <w:szCs w:val="28"/>
        </w:rPr>
        <w:t xml:space="preserve"> в рамках государственной программы «Совершенствование механизмов осуществления закупок товаров, работ, услуг для государственных нужд Свердловской области до 2020 года» за январь – декабрь 2015 года, следующая.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 xml:space="preserve">Задача 1.1. Развитие добросовестной конкуренции при проведении закупок 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 xml:space="preserve">1. </w:t>
      </w:r>
      <w:proofErr w:type="gramStart"/>
      <w:r w:rsidRPr="007E2272">
        <w:rPr>
          <w:sz w:val="28"/>
          <w:szCs w:val="28"/>
        </w:rPr>
        <w:t>Показатель «Среднее количество поставщиков (подрядчиков, исполнителей), принявших участие в закупках, проводимых Департаментом государственных закупок Свердловской области» выполнен на 100,0%. За период январь – декабрь 2016 года количество поставщиков (подрядчиков, исполнителей), принявших участие в закупках, проводимых Департаментом, составило 5 592 ед., при общем количестве проведенных Департаментом процедур закупок 1 778 ед. Среднее количество поставщиков, принявших участие в закупках составило 3,15 ед.</w:t>
      </w:r>
      <w:proofErr w:type="gramEnd"/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 xml:space="preserve">2. </w:t>
      </w:r>
      <w:proofErr w:type="gramStart"/>
      <w:r w:rsidRPr="007E2272">
        <w:rPr>
          <w:sz w:val="28"/>
          <w:szCs w:val="28"/>
        </w:rPr>
        <w:t>Перевыполнение показателя «Доля стоимости закупок с единственным участником, признанных несостоявшимися, в общей стоимости закупок, проводимых Департаментом государственных закупок Свердловской области» произошло в связи с тем, что за период январь – декабрь 2016 года общая начальная (максимальная) цена контрактов по закупкам, которые по результатам процедур привели к заключению контракта, составила 26 568,97 млн. рублей.</w:t>
      </w:r>
      <w:proofErr w:type="gramEnd"/>
      <w:r w:rsidRPr="007E2272">
        <w:rPr>
          <w:sz w:val="28"/>
          <w:szCs w:val="28"/>
        </w:rPr>
        <w:t xml:space="preserve"> Общая начальная (максимальная) цена контрактов по закупкам с единственным участником, признанным несостоявшимися 7 788,57 млн. рублей. Доля стоимости закупок с единственным участником, признанных несостоявшимися, в общей </w:t>
      </w:r>
      <w:r w:rsidRPr="007E2272">
        <w:rPr>
          <w:sz w:val="28"/>
          <w:szCs w:val="28"/>
        </w:rPr>
        <w:lastRenderedPageBreak/>
        <w:t>стоимости закупок составила 29,3 %, при этом плановый показатель составляет 40 %, выполнение по данному показателю – 136,5 %. Увеличение доли стоимости закупок, признанных состоявшимися, произошло в связи с увеличением количества участников по процедурам с наибольшей начальной (максимальной) ценой контракта.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>Задача 1.2 Увеличение количества совместных конкурсов и аукционов для нужд заказчиков Свердловской области.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>3. Перевыполнение показателя «Количество проведенных совместных конкурсов и аукционов для нужд заказчиков Свердловской области» произошло в связи с тем, что за период январь – декабрь 2016 года проведено 38 совместных аукциона (при плановом показателе – 11), выполнение по данному показателю – 345,5 %.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sz w:val="28"/>
          <w:szCs w:val="28"/>
        </w:rPr>
        <w:t>Перевыполнение показателя</w:t>
      </w:r>
      <w:r w:rsidRPr="007E2272">
        <w:rPr>
          <w:color w:val="000000"/>
          <w:sz w:val="28"/>
          <w:szCs w:val="28"/>
        </w:rPr>
        <w:t xml:space="preserve"> </w:t>
      </w:r>
      <w:r w:rsidRPr="007E2272">
        <w:rPr>
          <w:sz w:val="28"/>
          <w:szCs w:val="28"/>
        </w:rPr>
        <w:t>обусловлено экстренно</w:t>
      </w:r>
      <w:r w:rsidRPr="007E2272">
        <w:rPr>
          <w:color w:val="000000"/>
          <w:sz w:val="28"/>
          <w:szCs w:val="28"/>
        </w:rPr>
        <w:t xml:space="preserve"> возникшей незапланированной потребности Министерства здравоохранения Свердловской области в лекарственных препаратах. В результате проведены в январе 2016 года совместные аукционы на поставку лекарственных препаратов для лечебных учреждений Свердловской области в количестве 30 шт.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>Задача 2.1. Создание и ведение региональной информационной системы в сфере закупок, интегрированной с единой информационной системой.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>4. Показатель «</w:t>
      </w:r>
      <w:r w:rsidRPr="007E2272">
        <w:rPr>
          <w:sz w:val="28"/>
          <w:szCs w:val="28"/>
        </w:rPr>
        <w:t xml:space="preserve">Доля заказчиков Свердловской области, использующих региональную информационную систему в сфере закупок, интегрированную с единой информационной системой» выполнен на 134,9 %. Всего в Свердловской области количество заказчиков, проводящих торги, составляет 821 единиц. Региональную информационную систему в сфере закупок, интегрированную с единой информационной системой, используют 609 единиц, в связи с чем, доля заказчиков Свердловской области, использующих региональную информационную систему в сфере закупок, в общей доле заказчиков составляет 74,2 %. 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>Задача 2.2 Предотвращение коррупции и других злоупотреблений в сфере закупок товаров, работ, услуг для обеспечения государственных и муниципальных нужд.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 xml:space="preserve">5. </w:t>
      </w:r>
      <w:proofErr w:type="gramStart"/>
      <w:r w:rsidRPr="007E2272">
        <w:rPr>
          <w:color w:val="000000"/>
          <w:sz w:val="28"/>
          <w:szCs w:val="28"/>
        </w:rPr>
        <w:t>Перевыполнение показателя «Доля обоснованных жалоб в общем объеме закупок,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требованиям законодательства в сфере закупок товаров, работ, услуг» объясняется тем, что за период январь – декабрь 2016 года в Департамент поступило 742 заявок на определение поставщика (подрядчика, исполнителя), в отношении которых Департаментом проведена проверка</w:t>
      </w:r>
      <w:proofErr w:type="gramEnd"/>
      <w:r w:rsidRPr="007E2272">
        <w:rPr>
          <w:color w:val="000000"/>
          <w:sz w:val="28"/>
          <w:szCs w:val="28"/>
        </w:rPr>
        <w:t xml:space="preserve"> заявок заказчиков Свердловской области на соответствие требованиям законодательства в сфере закупок товаров, работ, услуг. Количество обоснованных жалоб по закупкам, в отношении которых Департаментом проведена проверка заявок на предмет соответствия требованиям законодательства в сфере закупок товаров, работ, услуг – 11. Таким образом, доля обоснованных жалоб в общем объеме закупок составила 1,5 % (при плановом показателе – 4 %), выполнение по данному показателю – 266,7 %.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sz w:val="28"/>
          <w:szCs w:val="28"/>
        </w:rPr>
        <w:lastRenderedPageBreak/>
        <w:t>Снижение данного показателя происходит благодаря квалифицированным действиям сотрудников Департамента, в том числе в части качественной проверки заявок заказчиков на предмет соответствия требованиям законодательства в сфере закупок товаров, работ, услуг, оказания методологической помощи заказчикам, повышению качества при работе аукционных комиссий Департамента, а также наличием сформировавшейся практики рассмотрения жалоб в УФАС.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>Задача 3.1. Совершенствование нормативно-правовой базы в сфере закупок товаров, работ, услуг для обеспечения государственных и муниципальных нужд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>6. Перевыполнение показателя «Количество разработанных правовых актов Свердловской области в сфере закупок» произошло в связи с тем, что за период январь – декабрь 2016 года Департаментом разработаны и Правительством Свердловской области приняты 11 нормативных правовых акта (при плане – 9), выполнение по данному показателю – 122,2 %.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proofErr w:type="gramStart"/>
      <w:r w:rsidRPr="007E2272">
        <w:rPr>
          <w:sz w:val="28"/>
          <w:szCs w:val="28"/>
        </w:rPr>
        <w:t xml:space="preserve">Принятие в развитие Закона о контрактной системе множества нормативных правовых актов Правительства Российской Федерации повлекло за собой дополнительную подготовку и </w:t>
      </w:r>
      <w:r w:rsidRPr="007E2272">
        <w:rPr>
          <w:color w:val="000000"/>
          <w:sz w:val="28"/>
          <w:szCs w:val="28"/>
        </w:rPr>
        <w:t>разработку нормативно правовых актов, в</w:t>
      </w:r>
      <w:r w:rsidRPr="007E2272">
        <w:rPr>
          <w:sz w:val="28"/>
          <w:szCs w:val="28"/>
        </w:rPr>
        <w:t xml:space="preserve"> связи с внесением изменений в статью 114 Закона о контрактной системе регламентирующую порядок вступления в силу положений Закона о контрактной системе, принятия новых положений Закона о контрактной системе в соответствии с которыми необходимо принятие нормативных</w:t>
      </w:r>
      <w:proofErr w:type="gramEnd"/>
      <w:r w:rsidRPr="007E2272">
        <w:rPr>
          <w:sz w:val="28"/>
          <w:szCs w:val="28"/>
        </w:rPr>
        <w:t xml:space="preserve"> правовых актов Свердловской области, а также наделения Департамента новыми полномочиями на проведение оценки соответствия или мониторинга соответствия и об установлении порядка подписания и утверждения уведомлений и заключений, выдаваемых по результатам оценки соответствия и мониторинга соответствия </w:t>
      </w:r>
    </w:p>
    <w:p w:rsidR="007E2272" w:rsidRPr="007E2272" w:rsidRDefault="007E2272" w:rsidP="007E2272">
      <w:pPr>
        <w:ind w:firstLine="709"/>
        <w:jc w:val="both"/>
        <w:rPr>
          <w:rFonts w:eastAsia="Courier New"/>
          <w:sz w:val="28"/>
          <w:szCs w:val="28"/>
        </w:rPr>
      </w:pPr>
      <w:r w:rsidRPr="007E2272">
        <w:rPr>
          <w:sz w:val="28"/>
          <w:szCs w:val="28"/>
        </w:rPr>
        <w:t>Задача 3.2. Совершенствование методического сопровождения деятельности заказчиков Свердловской области, осуществляющих закупки.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sz w:val="28"/>
          <w:szCs w:val="28"/>
        </w:rPr>
        <w:t>7. Показатель</w:t>
      </w:r>
      <w:r w:rsidRPr="007E2272">
        <w:rPr>
          <w:color w:val="000000"/>
          <w:sz w:val="28"/>
          <w:szCs w:val="28"/>
        </w:rPr>
        <w:t xml:space="preserve"> «</w:t>
      </w:r>
      <w:r w:rsidRPr="007E2272">
        <w:rPr>
          <w:sz w:val="28"/>
          <w:szCs w:val="28"/>
        </w:rPr>
        <w:t>Доля заказчиков, представители которых приняли участие в семинарах, направленных на повышение квалификации в сфере осуществления закупок, проводимых Департаментом государственных закупок Свердловской области</w:t>
      </w:r>
      <w:r w:rsidRPr="007E2272">
        <w:rPr>
          <w:color w:val="000000"/>
          <w:sz w:val="28"/>
          <w:szCs w:val="28"/>
        </w:rPr>
        <w:t>»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proofErr w:type="gramStart"/>
      <w:r w:rsidRPr="007E2272">
        <w:rPr>
          <w:sz w:val="28"/>
          <w:szCs w:val="28"/>
        </w:rPr>
        <w:t>З</w:t>
      </w:r>
      <w:r w:rsidRPr="007E2272">
        <w:rPr>
          <w:color w:val="000000"/>
          <w:sz w:val="28"/>
          <w:szCs w:val="28"/>
        </w:rPr>
        <w:t>а период январь – декабрь 2016 года Департаментом проведено 10 семинаров для государственных и муниципальных заказчиков, из них 6 семинаров «О практике применения Федерального закона «О контрактной системе в сфере закупок товаров, работ, услуг для обеспечения государственных и муниципальных нужд», 3 семинара «О порядке работы в Информационной системе в сфере закупок Свердловской области» и 1 семинар для государственных унитарных предприятий Свердловской</w:t>
      </w:r>
      <w:proofErr w:type="gramEnd"/>
      <w:r w:rsidRPr="007E2272">
        <w:rPr>
          <w:color w:val="000000"/>
          <w:sz w:val="28"/>
          <w:szCs w:val="28"/>
        </w:rPr>
        <w:t xml:space="preserve"> области. 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 xml:space="preserve">В семинарах приняли участие 99,2 % заказчиков Свердловской области (при плане – 70), выполнение по данному показателю 141,7 %. </w:t>
      </w:r>
      <w:r w:rsidRPr="007E2272">
        <w:rPr>
          <w:sz w:val="28"/>
          <w:szCs w:val="28"/>
        </w:rPr>
        <w:t>При общем количестве заказчиков 821 единица, в семинарах приняли участие 814.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sz w:val="28"/>
          <w:szCs w:val="28"/>
        </w:rPr>
        <w:t>Перевыполнение показателя</w:t>
      </w:r>
      <w:r w:rsidRPr="007E2272">
        <w:rPr>
          <w:color w:val="000000"/>
          <w:sz w:val="28"/>
          <w:szCs w:val="28"/>
        </w:rPr>
        <w:t xml:space="preserve"> </w:t>
      </w:r>
      <w:r w:rsidRPr="007E2272">
        <w:rPr>
          <w:sz w:val="28"/>
          <w:szCs w:val="28"/>
        </w:rPr>
        <w:t>возникло по причине</w:t>
      </w:r>
      <w:r w:rsidRPr="007E2272">
        <w:rPr>
          <w:color w:val="000000"/>
          <w:sz w:val="28"/>
          <w:szCs w:val="28"/>
        </w:rPr>
        <w:t xml:space="preserve"> заинтересованности в участии в семинарах большого количества представителей заказчиков Свердловской области, в связи с изменениями в порядке работы по осуществлению закупок заказчиками Свердловской области, применению законодательства в сфере </w:t>
      </w:r>
      <w:r w:rsidRPr="007E2272">
        <w:rPr>
          <w:color w:val="000000"/>
          <w:sz w:val="28"/>
          <w:szCs w:val="28"/>
        </w:rPr>
        <w:lastRenderedPageBreak/>
        <w:t>закупок, необходимости проведения дополнительных семинаров по работе в информационной системе в сфере закупок.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sz w:val="28"/>
          <w:szCs w:val="28"/>
        </w:rPr>
        <w:t>8. Показатель</w:t>
      </w:r>
      <w:r w:rsidRPr="007E2272">
        <w:rPr>
          <w:color w:val="000000"/>
          <w:sz w:val="28"/>
          <w:szCs w:val="28"/>
        </w:rPr>
        <w:t xml:space="preserve"> «</w:t>
      </w:r>
      <w:r w:rsidRPr="007E2272">
        <w:rPr>
          <w:sz w:val="28"/>
          <w:szCs w:val="28"/>
        </w:rPr>
        <w:t>Количество разработанных методических рекомендаций, информационных писем, типовых форм документов для заказчиков Свердловской области</w:t>
      </w:r>
      <w:r w:rsidRPr="007E2272">
        <w:rPr>
          <w:color w:val="000000"/>
          <w:sz w:val="28"/>
          <w:szCs w:val="28"/>
        </w:rPr>
        <w:t>».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proofErr w:type="gramStart"/>
      <w:r w:rsidRPr="007E2272">
        <w:rPr>
          <w:color w:val="000000"/>
          <w:sz w:val="28"/>
          <w:szCs w:val="28"/>
        </w:rPr>
        <w:t>За период январь – декабрь 2016 года Департаментом, как органом, уполномоченным на осуществление функций по регулированию контрактной системы в сфере закупок Свердловской области, подготовлены и направлены в адрес заказчиков для практического применения 15 информационных писем в сфере закупок (при плане – 15), выполнение по данному показателю 100,0 %.</w:t>
      </w:r>
      <w:proofErr w:type="gramEnd"/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>Принятие в развитие закона о контрактной системе нормативных правовых актов Правительства Российской Федерации и Свердловской области, повлекло за собой подготовку и направление в адрес заказчиков информационных писем, а также были внесены изменения в ранее разработанные методические рекомендации.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r w:rsidRPr="007E2272">
        <w:rPr>
          <w:color w:val="000000"/>
          <w:sz w:val="28"/>
          <w:szCs w:val="28"/>
        </w:rPr>
        <w:t xml:space="preserve">9. </w:t>
      </w:r>
      <w:r w:rsidRPr="007E2272">
        <w:rPr>
          <w:sz w:val="28"/>
          <w:szCs w:val="28"/>
        </w:rPr>
        <w:t>Показатель «Доля закупок у субъектов малого предпринимательства, социально ориентированных некоммерческих организаций в совокупном годовом объеме закупок для обеспечения государственных нужд Свердловской области».</w:t>
      </w:r>
    </w:p>
    <w:p w:rsidR="007E2272" w:rsidRPr="007E2272" w:rsidRDefault="007E2272" w:rsidP="007E2272">
      <w:pPr>
        <w:ind w:firstLine="709"/>
        <w:jc w:val="both"/>
        <w:rPr>
          <w:sz w:val="28"/>
          <w:szCs w:val="28"/>
        </w:rPr>
      </w:pPr>
      <w:proofErr w:type="gramStart"/>
      <w:r w:rsidRPr="007E2272">
        <w:rPr>
          <w:color w:val="000000"/>
          <w:sz w:val="28"/>
          <w:szCs w:val="28"/>
        </w:rPr>
        <w:t>По данным</w:t>
      </w:r>
      <w:r w:rsidR="00726637">
        <w:rPr>
          <w:color w:val="000000"/>
          <w:sz w:val="28"/>
          <w:szCs w:val="28"/>
        </w:rPr>
        <w:t xml:space="preserve"> ЕИС</w:t>
      </w:r>
      <w:r w:rsidRPr="007E2272">
        <w:rPr>
          <w:color w:val="000000"/>
          <w:sz w:val="28"/>
          <w:szCs w:val="28"/>
        </w:rPr>
        <w:t>, по состоянию на 31 декабря 2016 года доля закупок у субъектов малого предпринимательства и социально ориентированных некоммерческих организаций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 государственными заказчиками Свердловской области составляет – 15,5% (при плане – 15), выполнение по данному показателю – 103,3 %.</w:t>
      </w:r>
      <w:proofErr w:type="gramEnd"/>
    </w:p>
    <w:p w:rsidR="00ED325A" w:rsidRDefault="00ED325A" w:rsidP="00D07137">
      <w:pPr>
        <w:pStyle w:val="af6"/>
        <w:tabs>
          <w:tab w:val="left" w:pos="1200"/>
        </w:tabs>
        <w:ind w:firstLine="85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E4A9C" w:rsidRDefault="003E4A9C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31ABF" w:rsidRDefault="00CD6F18" w:rsidP="00F51B51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F31ABF" w:rsidRPr="00F31ABF" w:rsidRDefault="00F31ABF" w:rsidP="00F51B51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16"/>
          <w:szCs w:val="16"/>
        </w:rPr>
      </w:pPr>
    </w:p>
    <w:p w:rsidR="00F51B51" w:rsidRPr="00F51B51" w:rsidRDefault="00F51B51" w:rsidP="00F51B51">
      <w:pPr>
        <w:ind w:firstLine="709"/>
        <w:jc w:val="center"/>
        <w:rPr>
          <w:b/>
          <w:bCs/>
        </w:rPr>
      </w:pPr>
    </w:p>
    <w:p w:rsidR="00F51B51" w:rsidRDefault="00F51B51" w:rsidP="00F51B51">
      <w:pPr>
        <w:ind w:firstLine="709"/>
        <w:jc w:val="center"/>
        <w:rPr>
          <w:b/>
          <w:bCs/>
        </w:rPr>
      </w:pPr>
      <w:r w:rsidRPr="00F51B51">
        <w:rPr>
          <w:b/>
          <w:bCs/>
        </w:rPr>
        <w:t xml:space="preserve">Достижение целевых показателей государственной программы Свердловской области </w:t>
      </w:r>
      <w:r w:rsidRPr="00F51B51">
        <w:rPr>
          <w:b/>
        </w:rPr>
        <w:t xml:space="preserve">«Совершенствование механизмов осуществления закупок товаров, работ, услуг для государственных нужд Свердловской области до 2020 года» за </w:t>
      </w:r>
      <w:r w:rsidR="00B8058F">
        <w:rPr>
          <w:b/>
          <w:bCs/>
        </w:rPr>
        <w:t>2016</w:t>
      </w:r>
      <w:r w:rsidR="00CD6F18">
        <w:rPr>
          <w:b/>
          <w:bCs/>
        </w:rPr>
        <w:t xml:space="preserve"> год</w:t>
      </w:r>
    </w:p>
    <w:p w:rsidR="00C722EA" w:rsidRDefault="00C722EA" w:rsidP="00F51B51">
      <w:pPr>
        <w:ind w:firstLine="709"/>
        <w:jc w:val="center"/>
        <w:rPr>
          <w:b/>
          <w:bCs/>
        </w:rPr>
      </w:pP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060"/>
        <w:gridCol w:w="924"/>
        <w:gridCol w:w="851"/>
        <w:gridCol w:w="1116"/>
        <w:gridCol w:w="892"/>
        <w:gridCol w:w="1120"/>
        <w:gridCol w:w="2117"/>
      </w:tblGrid>
      <w:tr w:rsidR="00C722EA" w:rsidRPr="00C722EA" w:rsidTr="00C722EA">
        <w:tc>
          <w:tcPr>
            <w:tcW w:w="426" w:type="dxa"/>
            <w:vMerge w:val="restart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891" w:type="dxa"/>
            <w:gridSpan w:val="3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012" w:type="dxa"/>
            <w:gridSpan w:val="2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C722EA" w:rsidRPr="00C722EA" w:rsidTr="00C722EA">
        <w:tc>
          <w:tcPr>
            <w:tcW w:w="426" w:type="dxa"/>
            <w:vMerge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план (год)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план (отчетный период)</w:t>
            </w:r>
          </w:p>
        </w:tc>
        <w:tc>
          <w:tcPr>
            <w:tcW w:w="111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92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от годового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от значения отчетного периода</w:t>
            </w:r>
          </w:p>
        </w:tc>
        <w:tc>
          <w:tcPr>
            <w:tcW w:w="2117" w:type="dxa"/>
            <w:vMerge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2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0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sz w:val="20"/>
                <w:szCs w:val="20"/>
              </w:rPr>
            </w:pPr>
            <w:r w:rsidRPr="00C722EA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t>Цель 1. Повышение эффективности и результативности осуществления закупок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1.1. Развитие добросовестной конкуренции при проведении закупок</w:t>
            </w:r>
          </w:p>
        </w:tc>
      </w:tr>
      <w:tr w:rsidR="00C722EA" w:rsidRPr="00C722EA" w:rsidTr="00C722EA">
        <w:trPr>
          <w:trHeight w:val="1361"/>
        </w:trPr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Среднее количество поставщиков (подрядчиков, исполнителей), принявших участие в закупках, проводимых Департаментом государственных закупок Свердловской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единиц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3,15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3,15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3,15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  <w:lang w:val="en-US"/>
              </w:rPr>
            </w:pPr>
            <w:r w:rsidRPr="00C722EA">
              <w:rPr>
                <w:sz w:val="20"/>
                <w:szCs w:val="20"/>
              </w:rPr>
              <w:t>100,0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</w:p>
        </w:tc>
      </w:tr>
      <w:tr w:rsidR="00C722EA" w:rsidRPr="00C722EA" w:rsidTr="00C722EA">
        <w:trPr>
          <w:trHeight w:val="1161"/>
        </w:trPr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Доля стоимости закупок с единственным участником, </w:t>
            </w:r>
            <w:proofErr w:type="gramStart"/>
            <w:r w:rsidRPr="00C722EA">
              <w:rPr>
                <w:sz w:val="20"/>
                <w:szCs w:val="20"/>
              </w:rPr>
              <w:t>признанных</w:t>
            </w:r>
            <w:proofErr w:type="gramEnd"/>
            <w:r w:rsidRPr="00C722EA">
              <w:rPr>
                <w:sz w:val="20"/>
                <w:szCs w:val="20"/>
              </w:rPr>
              <w:t xml:space="preserve"> несостоявшимися, в общей стоимости закупок, проводимых Департаментом государственных закупок Свердловской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процентов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40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  <w:lang w:val="en-US"/>
              </w:rPr>
            </w:pPr>
            <w:r w:rsidRPr="00C722EA">
              <w:rPr>
                <w:sz w:val="20"/>
                <w:szCs w:val="20"/>
              </w:rPr>
              <w:t>29,3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136,5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136,5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Увеличение доли стоимости закупок, признанных состоявшимися, произошло в связи с увеличением количества участников по процедурам с наибольшей начальной (максимальной) ценой контракта.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1.2. Увеличение количества совместных конкурсов и аукционов для нужд заказчиков Свердловской области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Количество проведенных совместных конкурсов и аукционов для нужд заказчиков Свердловской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единиц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tabs>
                <w:tab w:val="left" w:pos="1440"/>
              </w:tabs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38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  <w:lang w:val="en-US"/>
              </w:rPr>
              <w:t>3</w:t>
            </w:r>
            <w:r w:rsidRPr="00C722EA">
              <w:rPr>
                <w:sz w:val="20"/>
                <w:szCs w:val="20"/>
              </w:rPr>
              <w:t>45,5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  <w:lang w:val="en-US"/>
              </w:rPr>
              <w:t>3</w:t>
            </w:r>
            <w:r w:rsidRPr="00C722EA">
              <w:rPr>
                <w:sz w:val="20"/>
                <w:szCs w:val="20"/>
              </w:rPr>
              <w:t>45,5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Перевыполнение показателя обусловлено экстренно возникшей незапланированной потребности Министерства здравоохранения Свердловской области в лекарственных препаратах. В результате проведены в январе 2016 года совместные аукционы на поставку лекарственных </w:t>
            </w:r>
            <w:r w:rsidRPr="00C722EA">
              <w:rPr>
                <w:sz w:val="20"/>
                <w:szCs w:val="20"/>
              </w:rPr>
              <w:lastRenderedPageBreak/>
              <w:t>препаратов для лечебных учреждений Свердловской области в количестве 30 шт.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t>Цель 2. Обеспечение гласности и прозрачности осуществления закупок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2.1. Создание и ведение региональной информационной системы в сфере закупок, интегрированной с единой информационной системой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Доля государственных заказчиков Свердловской области, использующих функционал сайта Свердловской области "Закупки продукции для нужд Свердловской области"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процентов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tabs>
                <w:tab w:val="left" w:pos="1530"/>
              </w:tabs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0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 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Доля заказчиков Свердловской области, использующих региональную информационную систему в сфере закупок, интегрированную с единой информационной системой</w:t>
            </w:r>
          </w:p>
        </w:tc>
        <w:tc>
          <w:tcPr>
            <w:tcW w:w="1060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процентов</w:t>
            </w:r>
          </w:p>
        </w:tc>
        <w:tc>
          <w:tcPr>
            <w:tcW w:w="924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55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tabs>
                <w:tab w:val="left" w:pos="1530"/>
              </w:tabs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74,2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134,9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134,9</w:t>
            </w:r>
          </w:p>
        </w:tc>
        <w:tc>
          <w:tcPr>
            <w:tcW w:w="2117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Всего в Свердловской области количество заказчиков, проводящих торги, составляет 821 единиц. Региональную информационную систему в сфере закупок, интегрированную с единой информационной системой, используют 609 единиц, в связи с чем, доля заказчиков Свердловской области, использующих региональную информационную систему в сфере закупок, в общей доле заказчиков составляет 74,2 %.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2.2. Предотвращение коррупции и других злоупотреблений в сфере закупок товаров, работ, услуг для обеспечения государственных и муниципальных нужд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Доля обоснованных жалоб в общем объеме закупок, в отношении которых Департаментом государственных закупок Свердловской области была проведена проверка заявок заказчиков Свердловской области на предмет соответствия </w:t>
            </w:r>
            <w:r w:rsidRPr="00C722EA">
              <w:rPr>
                <w:sz w:val="20"/>
                <w:szCs w:val="20"/>
              </w:rPr>
              <w:lastRenderedPageBreak/>
              <w:t>требованиям законодательства в сфере закупок товаров, работ, услуг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  <w:highlight w:val="yellow"/>
              </w:rPr>
            </w:pPr>
            <w:r w:rsidRPr="00C722EA">
              <w:rPr>
                <w:sz w:val="20"/>
                <w:szCs w:val="20"/>
              </w:rPr>
              <w:t>1,5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266,7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266,7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 Перевыполнение данного показателя происходит благодаря квалифицированным действиям сотрудников Департамента, в том числе в части качественной проверки заявок заказчиков на предмет соответствия требованиям законодательства в сфере закупок товаров, работ, услуг, оказания методологической помощи заказчикам, повышению качества при работе аукционных </w:t>
            </w:r>
            <w:r w:rsidRPr="00C722EA">
              <w:rPr>
                <w:sz w:val="20"/>
                <w:szCs w:val="20"/>
              </w:rPr>
              <w:lastRenderedPageBreak/>
              <w:t>комиссий Департамента, а также наличием сформировавшейся практики рассмотрения жалоб в УФАС.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2EA">
              <w:rPr>
                <w:b/>
                <w:bCs/>
                <w:color w:val="000000"/>
                <w:sz w:val="20"/>
                <w:szCs w:val="20"/>
              </w:rPr>
              <w:t>Цель 3. Реализация единой государственной политики в сфере закупок, товаров, работ, услуг для обеспечения государственных и муниципальных нужд</w:t>
            </w:r>
          </w:p>
        </w:tc>
      </w:tr>
      <w:tr w:rsidR="00C722EA" w:rsidRPr="00C722EA" w:rsidTr="00C722EA">
        <w:trPr>
          <w:trHeight w:val="406"/>
        </w:trPr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3.1. Совершенствование нормативно-правовой базы в сфере закупок товаров, работ, услуг для обеспечения государственных и муниципальных нужд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Количество разработанных правовых актов Свердловской области в сфере закупок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единиц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122,2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122,2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 </w:t>
            </w:r>
            <w:proofErr w:type="gramStart"/>
            <w:r w:rsidRPr="00C722EA">
              <w:rPr>
                <w:sz w:val="20"/>
                <w:szCs w:val="20"/>
              </w:rPr>
              <w:t>Принятие в развитие Закона о контрактной системе множества нормативных правовых актов Правительства Российской Федерации повлекло за собой дополнительную подготовку и разработку нормативно правовых актов, в связи с внесением изменений в статью 114 Закона о контрактной системе регламентирующую порядок вступления в силу положений  Закона о контрактной системе, принятия новых положений Закона о контрактной системе в соответствии с которыми необходимо принятие нормативных</w:t>
            </w:r>
            <w:proofErr w:type="gramEnd"/>
            <w:r w:rsidRPr="00C722EA">
              <w:rPr>
                <w:sz w:val="20"/>
                <w:szCs w:val="20"/>
              </w:rPr>
              <w:t xml:space="preserve"> правовых актов Свердловской области, а также наделения Департамента новыми полномочиями на проведение оценки соответствия или мониторинга соответствия и об установлении порядка подписания и утверждения уведомлений и заключений, выдаваемых по результатам оценки соответствия и мониторинга соответствия.</w:t>
            </w:r>
          </w:p>
        </w:tc>
      </w:tr>
      <w:tr w:rsidR="00C722EA" w:rsidRPr="00C722EA" w:rsidTr="00C722EA">
        <w:tc>
          <w:tcPr>
            <w:tcW w:w="426" w:type="dxa"/>
            <w:shd w:val="clear" w:color="000000" w:fill="FFFFFF"/>
            <w:hideMark/>
          </w:tcPr>
          <w:p w:rsidR="00C722EA" w:rsidRPr="00C722EA" w:rsidRDefault="00C722EA" w:rsidP="00C330E4">
            <w:pPr>
              <w:jc w:val="center"/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781" w:type="dxa"/>
            <w:gridSpan w:val="8"/>
            <w:shd w:val="clear" w:color="000000" w:fill="FFFFFF"/>
            <w:vAlign w:val="center"/>
            <w:hideMark/>
          </w:tcPr>
          <w:p w:rsidR="00C722EA" w:rsidRPr="00C722EA" w:rsidRDefault="00C722EA" w:rsidP="00C330E4">
            <w:pPr>
              <w:rPr>
                <w:color w:val="000000"/>
                <w:sz w:val="20"/>
                <w:szCs w:val="20"/>
              </w:rPr>
            </w:pPr>
            <w:r w:rsidRPr="00C722EA">
              <w:rPr>
                <w:color w:val="000000"/>
                <w:sz w:val="20"/>
                <w:szCs w:val="20"/>
              </w:rPr>
              <w:t>Задача 3.2. Совершенствование методического сопровождения деятельности заказчиков Свердловской области, осуществляющих закупки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Доля заказчиков, представители которых приняли участие в семинарах, направленных на повышение </w:t>
            </w:r>
            <w:r w:rsidRPr="00C722EA">
              <w:rPr>
                <w:sz w:val="20"/>
                <w:szCs w:val="20"/>
              </w:rPr>
              <w:lastRenderedPageBreak/>
              <w:t>квалификации в сфере осуществления закупок, проводимых Департаментом государственных закупок Свердловской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70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99,2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141,7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141,7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 xml:space="preserve"> Перевыполнение показателя возникло по причине заинтересованности в участии в семинарах большого количества представителей </w:t>
            </w:r>
            <w:r w:rsidRPr="00C722EA">
              <w:rPr>
                <w:sz w:val="20"/>
                <w:szCs w:val="20"/>
              </w:rPr>
              <w:lastRenderedPageBreak/>
              <w:t>заказчиков Свердловской области, в связи с изменениями в порядке работы по осуществлению закупок заказчиками Свердловской области, применению законодательства в сфере закупок, необходимости проведения дополнительных семинаров по работе в информационной системе в сфере закупок.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  <w:hideMark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Количество разработанных методических рекомендаций, информационных писем, типовых форм документов для заказчиков Свердловской области</w:t>
            </w:r>
          </w:p>
        </w:tc>
        <w:tc>
          <w:tcPr>
            <w:tcW w:w="1060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единиц</w:t>
            </w:r>
          </w:p>
        </w:tc>
        <w:tc>
          <w:tcPr>
            <w:tcW w:w="924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100,0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100,0</w:t>
            </w:r>
          </w:p>
        </w:tc>
        <w:tc>
          <w:tcPr>
            <w:tcW w:w="2117" w:type="dxa"/>
            <w:shd w:val="clear" w:color="auto" w:fill="auto"/>
            <w:hideMark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 </w:t>
            </w:r>
          </w:p>
        </w:tc>
      </w:tr>
      <w:tr w:rsidR="00C722EA" w:rsidRPr="00C722EA" w:rsidTr="00C722EA">
        <w:tc>
          <w:tcPr>
            <w:tcW w:w="426" w:type="dxa"/>
            <w:shd w:val="clear" w:color="auto" w:fill="auto"/>
          </w:tcPr>
          <w:p w:rsidR="00C722EA" w:rsidRPr="00C722EA" w:rsidRDefault="00C722EA" w:rsidP="00C330E4">
            <w:pPr>
              <w:jc w:val="center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Доля закупок у субъектов малого предпринимательства, социально ориентированных некоммерческих организаций в совокупном годовом объеме закупок для обеспечения государственных нужд Свердловской области</w:t>
            </w:r>
          </w:p>
        </w:tc>
        <w:tc>
          <w:tcPr>
            <w:tcW w:w="1060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процентов</w:t>
            </w:r>
          </w:p>
        </w:tc>
        <w:tc>
          <w:tcPr>
            <w:tcW w:w="924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15,5</w:t>
            </w:r>
          </w:p>
        </w:tc>
        <w:tc>
          <w:tcPr>
            <w:tcW w:w="892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103,3</w:t>
            </w:r>
          </w:p>
        </w:tc>
        <w:tc>
          <w:tcPr>
            <w:tcW w:w="1120" w:type="dxa"/>
            <w:shd w:val="clear" w:color="auto" w:fill="auto"/>
          </w:tcPr>
          <w:p w:rsidR="00C722EA" w:rsidRPr="00C722EA" w:rsidRDefault="00C722EA" w:rsidP="00C330E4">
            <w:pPr>
              <w:jc w:val="right"/>
              <w:rPr>
                <w:sz w:val="20"/>
                <w:szCs w:val="20"/>
              </w:rPr>
            </w:pPr>
            <w:r w:rsidRPr="00C722EA">
              <w:rPr>
                <w:sz w:val="20"/>
                <w:szCs w:val="20"/>
              </w:rPr>
              <w:t>103,3</w:t>
            </w:r>
          </w:p>
        </w:tc>
        <w:tc>
          <w:tcPr>
            <w:tcW w:w="2117" w:type="dxa"/>
            <w:shd w:val="clear" w:color="auto" w:fill="auto"/>
          </w:tcPr>
          <w:p w:rsidR="00C722EA" w:rsidRPr="00C722EA" w:rsidRDefault="00C722EA" w:rsidP="00C330E4">
            <w:pPr>
              <w:rPr>
                <w:sz w:val="20"/>
                <w:szCs w:val="20"/>
              </w:rPr>
            </w:pPr>
          </w:p>
        </w:tc>
      </w:tr>
    </w:tbl>
    <w:p w:rsidR="00C722EA" w:rsidRDefault="00C722EA" w:rsidP="00C722EA"/>
    <w:p w:rsidR="00F51B51" w:rsidRDefault="00F51B51" w:rsidP="00F51B51">
      <w:pPr>
        <w:ind w:firstLine="709"/>
        <w:jc w:val="center"/>
        <w:rPr>
          <w:b/>
          <w:bCs/>
          <w:sz w:val="16"/>
          <w:szCs w:val="16"/>
        </w:rPr>
      </w:pPr>
    </w:p>
    <w:p w:rsidR="0081559E" w:rsidRPr="00F51B51" w:rsidRDefault="0081559E" w:rsidP="00F51B51">
      <w:pPr>
        <w:ind w:firstLine="709"/>
        <w:jc w:val="center"/>
        <w:rPr>
          <w:b/>
          <w:bCs/>
          <w:sz w:val="16"/>
          <w:szCs w:val="16"/>
        </w:rPr>
      </w:pPr>
    </w:p>
    <w:p w:rsidR="00F51B51" w:rsidRDefault="00F51B51" w:rsidP="00F31ABF">
      <w:pPr>
        <w:ind w:firstLine="709"/>
        <w:rPr>
          <w:bCs/>
          <w:sz w:val="28"/>
          <w:szCs w:val="28"/>
        </w:rPr>
      </w:pPr>
    </w:p>
    <w:p w:rsidR="00ED325A" w:rsidRPr="00901A47" w:rsidRDefault="00ED325A" w:rsidP="00567E17">
      <w:pPr>
        <w:pStyle w:val="1"/>
        <w:jc w:val="center"/>
        <w:rPr>
          <w:i/>
          <w:color w:val="auto"/>
          <w:sz w:val="28"/>
          <w:szCs w:val="28"/>
        </w:rPr>
      </w:pPr>
      <w:r w:rsidRPr="00901A47">
        <w:rPr>
          <w:i/>
          <w:color w:val="auto"/>
          <w:sz w:val="28"/>
          <w:szCs w:val="28"/>
        </w:rPr>
        <w:t>План мероприятий по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на 201</w:t>
      </w:r>
      <w:r w:rsidR="003D5D98" w:rsidRPr="00901A47">
        <w:rPr>
          <w:i/>
          <w:color w:val="auto"/>
          <w:sz w:val="28"/>
          <w:szCs w:val="28"/>
        </w:rPr>
        <w:t>7</w:t>
      </w:r>
      <w:r w:rsidRPr="00901A47">
        <w:rPr>
          <w:i/>
          <w:color w:val="auto"/>
          <w:sz w:val="28"/>
          <w:szCs w:val="28"/>
        </w:rPr>
        <w:t xml:space="preserve"> год</w:t>
      </w:r>
    </w:p>
    <w:p w:rsidR="00247AD1" w:rsidRDefault="00247AD1" w:rsidP="00ED325A">
      <w:pPr>
        <w:pStyle w:val="ae"/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</w:p>
    <w:p w:rsidR="00ED325A" w:rsidRPr="00247AD1" w:rsidRDefault="00ED325A" w:rsidP="00ED325A">
      <w:pPr>
        <w:pStyle w:val="ae"/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247AD1">
        <w:rPr>
          <w:bCs/>
          <w:sz w:val="28"/>
          <w:szCs w:val="28"/>
        </w:rPr>
        <w:t xml:space="preserve">Необходимо отметить, что Закон о контрактной системе вступает в силу поэтапно. Полностью данный закон начнёт действовать с 1 января 2017 года, поэтому, в полной мере говорить об эффективности контрактной системы, в настоящий момент, пожалуй, ещё рано, поскольку </w:t>
      </w:r>
      <w:r w:rsidR="0081559E">
        <w:rPr>
          <w:bCs/>
          <w:sz w:val="28"/>
          <w:szCs w:val="28"/>
        </w:rPr>
        <w:t xml:space="preserve">только в 2017 году вступают в </w:t>
      </w:r>
      <w:r w:rsidR="0081559E">
        <w:rPr>
          <w:bCs/>
          <w:sz w:val="28"/>
          <w:szCs w:val="28"/>
        </w:rPr>
        <w:lastRenderedPageBreak/>
        <w:t xml:space="preserve">силу </w:t>
      </w:r>
      <w:r w:rsidRPr="00247AD1">
        <w:rPr>
          <w:bCs/>
          <w:sz w:val="28"/>
          <w:szCs w:val="28"/>
        </w:rPr>
        <w:t>основные положения закона, касающиеся планирования, а также мониторинга закупок.</w:t>
      </w:r>
      <w:r w:rsidR="0081559E">
        <w:rPr>
          <w:bCs/>
          <w:sz w:val="28"/>
          <w:szCs w:val="28"/>
        </w:rPr>
        <w:t xml:space="preserve"> </w:t>
      </w:r>
    </w:p>
    <w:p w:rsidR="00ED325A" w:rsidRPr="00247AD1" w:rsidRDefault="00ED325A" w:rsidP="00ED325A">
      <w:pPr>
        <w:pStyle w:val="ae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47AD1">
        <w:rPr>
          <w:bCs/>
          <w:sz w:val="28"/>
          <w:szCs w:val="28"/>
        </w:rPr>
        <w:t xml:space="preserve">С целью дальнейшего формирования контрактной системы в Свердловской области, Департамент </w:t>
      </w:r>
      <w:proofErr w:type="spellStart"/>
      <w:r w:rsidRPr="00247AD1">
        <w:rPr>
          <w:bCs/>
          <w:sz w:val="28"/>
          <w:szCs w:val="28"/>
        </w:rPr>
        <w:t>госзакупок</w:t>
      </w:r>
      <w:proofErr w:type="spellEnd"/>
      <w:r w:rsidRPr="00247AD1">
        <w:rPr>
          <w:bCs/>
          <w:sz w:val="28"/>
          <w:szCs w:val="28"/>
        </w:rPr>
        <w:t xml:space="preserve"> Свердловской области планирует осуществить следующие мероприятия:</w:t>
      </w:r>
    </w:p>
    <w:p w:rsidR="003D5D98" w:rsidRDefault="00ED325A" w:rsidP="003D5D98">
      <w:pPr>
        <w:pStyle w:val="ae"/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3D5D98">
        <w:rPr>
          <w:bCs/>
          <w:sz w:val="28"/>
          <w:szCs w:val="28"/>
        </w:rPr>
        <w:t xml:space="preserve"> </w:t>
      </w:r>
      <w:r w:rsidR="003D5D98" w:rsidRPr="003D5D98">
        <w:rPr>
          <w:bCs/>
          <w:sz w:val="28"/>
          <w:szCs w:val="28"/>
        </w:rPr>
        <w:t>в</w:t>
      </w:r>
      <w:r w:rsidR="003D5D98">
        <w:rPr>
          <w:bCs/>
          <w:sz w:val="28"/>
          <w:szCs w:val="28"/>
        </w:rPr>
        <w:t xml:space="preserve"> </w:t>
      </w:r>
      <w:r w:rsidR="003D5D98" w:rsidRPr="003D5D98">
        <w:rPr>
          <w:bCs/>
          <w:sz w:val="28"/>
          <w:szCs w:val="28"/>
        </w:rPr>
        <w:t>2017 году планируется разработка и  внесение изменений в следующие нормативные правовые акты Свердловской области:</w:t>
      </w:r>
    </w:p>
    <w:p w:rsidR="003D5D98" w:rsidRPr="003D5D98" w:rsidRDefault="0081559E" w:rsidP="0081559E">
      <w:pPr>
        <w:pStyle w:val="ae"/>
        <w:tabs>
          <w:tab w:val="left" w:pos="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D5D98">
        <w:rPr>
          <w:bCs/>
          <w:sz w:val="28"/>
          <w:szCs w:val="28"/>
        </w:rPr>
        <w:t xml:space="preserve"> </w:t>
      </w:r>
      <w:proofErr w:type="gramStart"/>
      <w:r w:rsidR="003D5D98" w:rsidRPr="003D5D98">
        <w:rPr>
          <w:bCs/>
          <w:sz w:val="28"/>
          <w:szCs w:val="28"/>
        </w:rPr>
        <w:t>- внесение изменений в постановление Правительства Свердловской области от 13.05.2016 № 333-ПП «Об утверждении Правил определения требований к закупаемым государственными органами Свердловской области, Территориальным фондом обязательного медицинского страхования Свердловской области,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услуг)» в части уточнения  обязательного перечня по отдельным видам товаров</w:t>
      </w:r>
      <w:proofErr w:type="gramEnd"/>
      <w:r w:rsidR="003D5D98" w:rsidRPr="003D5D98">
        <w:rPr>
          <w:bCs/>
          <w:sz w:val="28"/>
          <w:szCs w:val="28"/>
        </w:rPr>
        <w:t>, работ, услуг;</w:t>
      </w:r>
    </w:p>
    <w:p w:rsidR="003D5D98" w:rsidRPr="003D5D98" w:rsidRDefault="0081559E" w:rsidP="0081559E">
      <w:pPr>
        <w:pStyle w:val="ae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3D5D98" w:rsidRPr="003D5D98">
        <w:rPr>
          <w:bCs/>
          <w:sz w:val="28"/>
          <w:szCs w:val="28"/>
        </w:rPr>
        <w:t>- внесение изменений в постановление Правительства Свердловской области от 23.12.2015 г. №1665-ПП «О наделении полномочиями на определение поставщиков (подрядчиков, исполнителей) Департамента государственных закупок Свердловской области и утверждении порядка взаимодействия Департамента государственных закупок Свердловской области и заказчиков Свердловской области в сфере закупок товаров, работ, услуг для нужд Свердловской области» в части пересмотра процедуры рассмотрения заявок на предмет их соответствия требованиям законодательства в</w:t>
      </w:r>
      <w:proofErr w:type="gramEnd"/>
      <w:r w:rsidR="003D5D98" w:rsidRPr="003D5D98">
        <w:rPr>
          <w:bCs/>
          <w:sz w:val="28"/>
          <w:szCs w:val="28"/>
        </w:rPr>
        <w:t xml:space="preserve"> сфере закупок товаров, работ, услуг, законодательства Свердловской области;</w:t>
      </w:r>
    </w:p>
    <w:p w:rsidR="003D5D98" w:rsidRPr="003D5D98" w:rsidRDefault="003D5D98" w:rsidP="003D5D9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разработка и </w:t>
      </w:r>
      <w:r w:rsidRPr="003D5D98">
        <w:rPr>
          <w:bCs/>
          <w:sz w:val="28"/>
          <w:szCs w:val="28"/>
        </w:rPr>
        <w:t>принятие приказа</w:t>
      </w:r>
      <w:r w:rsidR="001972B7">
        <w:rPr>
          <w:bCs/>
          <w:sz w:val="28"/>
          <w:szCs w:val="28"/>
        </w:rPr>
        <w:t xml:space="preserve"> Департамента государственных закупок Свердловской области</w:t>
      </w:r>
      <w:r w:rsidRPr="003D5D98">
        <w:rPr>
          <w:bCs/>
          <w:sz w:val="28"/>
          <w:szCs w:val="28"/>
        </w:rPr>
        <w:t xml:space="preserve"> «Об утверждении Методики оценки эффективности закупок товаров, работ, услуг для обеспечения государственных нужд Свердловской области»;</w:t>
      </w:r>
    </w:p>
    <w:p w:rsidR="003D5D98" w:rsidRPr="0081559E" w:rsidRDefault="0081559E" w:rsidP="007854EE">
      <w:pPr>
        <w:tabs>
          <w:tab w:val="left" w:pos="709"/>
        </w:tabs>
        <w:jc w:val="both"/>
        <w:rPr>
          <w:bCs/>
          <w:sz w:val="28"/>
          <w:szCs w:val="28"/>
        </w:rPr>
      </w:pPr>
      <w:r w:rsidRPr="001972B7">
        <w:rPr>
          <w:bCs/>
          <w:sz w:val="28"/>
          <w:szCs w:val="28"/>
        </w:rPr>
        <w:tab/>
      </w:r>
      <w:r w:rsidR="003D5D98" w:rsidRPr="001972B7">
        <w:rPr>
          <w:bCs/>
          <w:sz w:val="28"/>
          <w:szCs w:val="28"/>
        </w:rPr>
        <w:t>-</w:t>
      </w:r>
      <w:r w:rsidR="001972B7" w:rsidRPr="001972B7">
        <w:rPr>
          <w:bCs/>
          <w:sz w:val="28"/>
          <w:szCs w:val="28"/>
        </w:rPr>
        <w:t xml:space="preserve"> разработка и принятие приказа Департамента государственных закупок Свердловской области «Об утверждении типовых условий, типовых проектов контрактов» во исполнение действующего</w:t>
      </w:r>
      <w:r w:rsidR="003D5D98" w:rsidRPr="001972B7">
        <w:rPr>
          <w:bCs/>
          <w:sz w:val="28"/>
          <w:szCs w:val="28"/>
        </w:rPr>
        <w:t xml:space="preserve"> </w:t>
      </w:r>
      <w:r w:rsidR="001972B7" w:rsidRPr="001972B7">
        <w:rPr>
          <w:bCs/>
          <w:sz w:val="28"/>
          <w:szCs w:val="28"/>
        </w:rPr>
        <w:t xml:space="preserve">постановления Правительства Свердловской области от 09.11.2016 г. № 803-ПП </w:t>
      </w:r>
      <w:r w:rsidR="001972B7">
        <w:rPr>
          <w:bCs/>
          <w:sz w:val="28"/>
          <w:szCs w:val="28"/>
        </w:rPr>
        <w:t>«</w:t>
      </w:r>
      <w:r w:rsidR="007854EE">
        <w:rPr>
          <w:bCs/>
          <w:sz w:val="28"/>
          <w:szCs w:val="28"/>
        </w:rPr>
        <w:t>О</w:t>
      </w:r>
      <w:r w:rsidR="007854EE" w:rsidRPr="007854EE">
        <w:rPr>
          <w:bCs/>
          <w:sz w:val="28"/>
          <w:szCs w:val="28"/>
        </w:rPr>
        <w:t>б утверждении порядка разработки типовых контрактов,</w:t>
      </w:r>
      <w:r w:rsidR="007854EE">
        <w:rPr>
          <w:bCs/>
          <w:sz w:val="28"/>
          <w:szCs w:val="28"/>
        </w:rPr>
        <w:t xml:space="preserve"> </w:t>
      </w:r>
      <w:r w:rsidR="007854EE" w:rsidRPr="007854EE">
        <w:rPr>
          <w:bCs/>
          <w:sz w:val="28"/>
          <w:szCs w:val="28"/>
        </w:rPr>
        <w:t>типовых условий контрактов для обеспечения нужд</w:t>
      </w:r>
      <w:r w:rsidR="007854EE">
        <w:rPr>
          <w:bCs/>
          <w:sz w:val="28"/>
          <w:szCs w:val="28"/>
        </w:rPr>
        <w:t xml:space="preserve"> С</w:t>
      </w:r>
      <w:r w:rsidR="007854EE" w:rsidRPr="007854EE">
        <w:rPr>
          <w:bCs/>
          <w:sz w:val="28"/>
          <w:szCs w:val="28"/>
        </w:rPr>
        <w:t>вердловской области</w:t>
      </w:r>
      <w:r w:rsidR="007854EE">
        <w:rPr>
          <w:bCs/>
          <w:sz w:val="28"/>
          <w:szCs w:val="28"/>
        </w:rPr>
        <w:t xml:space="preserve">» </w:t>
      </w:r>
      <w:r w:rsidR="00703949">
        <w:rPr>
          <w:bCs/>
          <w:sz w:val="28"/>
          <w:szCs w:val="28"/>
        </w:rPr>
        <w:t>с целью создания «библиотеки типовых контрактов»;</w:t>
      </w:r>
    </w:p>
    <w:p w:rsidR="00ED325A" w:rsidRDefault="0081559E" w:rsidP="0081559E">
      <w:pPr>
        <w:pStyle w:val="ae"/>
        <w:tabs>
          <w:tab w:val="left" w:pos="709"/>
        </w:tabs>
        <w:ind w:left="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ab/>
      </w:r>
      <w:r w:rsidR="003D5D98" w:rsidRPr="003D5D98">
        <w:rPr>
          <w:bCs/>
          <w:sz w:val="28"/>
          <w:szCs w:val="28"/>
        </w:rPr>
        <w:t xml:space="preserve">- внесение изменений в постановление Правительства Свердловской области от 21.10.2013 № 1274-ПП «Об утверждении государственной программы Свердловской области "Совершенствование механизмов осуществления закупок товаров, работ, услуг для государственных нужд Свердловской области до 2020 года»  в части </w:t>
      </w:r>
      <w:r w:rsidR="003D5D98">
        <w:rPr>
          <w:bCs/>
          <w:sz w:val="28"/>
          <w:szCs w:val="28"/>
        </w:rPr>
        <w:t xml:space="preserve">корректировки </w:t>
      </w:r>
      <w:r w:rsidR="003D5D98" w:rsidRPr="003D5D98">
        <w:rPr>
          <w:bCs/>
          <w:sz w:val="28"/>
          <w:szCs w:val="28"/>
        </w:rPr>
        <w:t xml:space="preserve"> целевых показателей деятельности;</w:t>
      </w:r>
    </w:p>
    <w:p w:rsidR="00531C14" w:rsidRPr="00172A40" w:rsidRDefault="00ED325A" w:rsidP="00531C14">
      <w:pPr>
        <w:ind w:firstLine="708"/>
        <w:jc w:val="both"/>
        <w:rPr>
          <w:sz w:val="28"/>
          <w:szCs w:val="28"/>
        </w:rPr>
      </w:pPr>
      <w:r w:rsidRPr="00D85564">
        <w:rPr>
          <w:sz w:val="28"/>
          <w:szCs w:val="28"/>
        </w:rPr>
        <w:t xml:space="preserve">2) </w:t>
      </w:r>
      <w:r w:rsidR="00531C14" w:rsidRPr="00D85564">
        <w:rPr>
          <w:sz w:val="28"/>
          <w:szCs w:val="28"/>
        </w:rPr>
        <w:t>для</w:t>
      </w:r>
      <w:r w:rsidR="00531C14" w:rsidRPr="004A7BAE">
        <w:rPr>
          <w:sz w:val="28"/>
          <w:szCs w:val="28"/>
        </w:rPr>
        <w:t xml:space="preserve"> заверш</w:t>
      </w:r>
      <w:r w:rsidR="00531C14">
        <w:rPr>
          <w:sz w:val="28"/>
          <w:szCs w:val="28"/>
        </w:rPr>
        <w:t>ающего этапа</w:t>
      </w:r>
      <w:r w:rsidR="00531C14" w:rsidRPr="004A7BAE">
        <w:rPr>
          <w:sz w:val="28"/>
          <w:szCs w:val="28"/>
        </w:rPr>
        <w:t xml:space="preserve"> создания РИС необходимо проведение работ по приведению ИС в соответствие с требованиями, установленными Постановлением № 1091 в части соответствия требованиям в области защиты информации.</w:t>
      </w:r>
      <w:r w:rsidR="00531C14">
        <w:rPr>
          <w:sz w:val="28"/>
          <w:szCs w:val="28"/>
        </w:rPr>
        <w:t xml:space="preserve"> </w:t>
      </w:r>
      <w:proofErr w:type="gramStart"/>
      <w:r w:rsidR="00531C14" w:rsidRPr="004A7BAE">
        <w:rPr>
          <w:sz w:val="28"/>
          <w:szCs w:val="28"/>
        </w:rPr>
        <w:t xml:space="preserve">В </w:t>
      </w:r>
      <w:r w:rsidR="00531C14">
        <w:rPr>
          <w:sz w:val="28"/>
          <w:szCs w:val="28"/>
        </w:rPr>
        <w:t xml:space="preserve">данных </w:t>
      </w:r>
      <w:r w:rsidR="00531C14" w:rsidRPr="004A7BAE">
        <w:rPr>
          <w:sz w:val="28"/>
          <w:szCs w:val="28"/>
        </w:rPr>
        <w:t xml:space="preserve">целях </w:t>
      </w:r>
      <w:r w:rsidR="00531C14">
        <w:rPr>
          <w:sz w:val="28"/>
          <w:szCs w:val="28"/>
        </w:rPr>
        <w:t xml:space="preserve">в 2017 году </w:t>
      </w:r>
      <w:r w:rsidR="00531C14" w:rsidRPr="004A7BAE">
        <w:rPr>
          <w:sz w:val="28"/>
          <w:szCs w:val="28"/>
        </w:rPr>
        <w:t>необходимо прове</w:t>
      </w:r>
      <w:r w:rsidR="00531C14">
        <w:rPr>
          <w:sz w:val="28"/>
          <w:szCs w:val="28"/>
        </w:rPr>
        <w:t xml:space="preserve">дение </w:t>
      </w:r>
      <w:r w:rsidR="00531C14" w:rsidRPr="004A7BAE">
        <w:rPr>
          <w:sz w:val="28"/>
          <w:szCs w:val="28"/>
        </w:rPr>
        <w:t>аттестаци</w:t>
      </w:r>
      <w:r w:rsidR="00531C14">
        <w:rPr>
          <w:sz w:val="28"/>
          <w:szCs w:val="28"/>
        </w:rPr>
        <w:t>и</w:t>
      </w:r>
      <w:r w:rsidR="00531C14" w:rsidRPr="004A7BAE">
        <w:rPr>
          <w:sz w:val="28"/>
          <w:szCs w:val="28"/>
        </w:rPr>
        <w:t xml:space="preserve"> серверного оборудования и ИС на соответствие </w:t>
      </w:r>
      <w:r w:rsidR="00531C14" w:rsidRPr="00172A40">
        <w:rPr>
          <w:sz w:val="28"/>
          <w:szCs w:val="28"/>
        </w:rPr>
        <w:t>требованиям информационной безопасности и принятия ряда нормативных правовых актов Свердловской области</w:t>
      </w:r>
      <w:r w:rsidR="00531C14">
        <w:rPr>
          <w:sz w:val="28"/>
          <w:szCs w:val="28"/>
        </w:rPr>
        <w:t>;</w:t>
      </w:r>
      <w:proofErr w:type="gramEnd"/>
    </w:p>
    <w:p w:rsidR="00C4090A" w:rsidRPr="003D5D98" w:rsidRDefault="00ED325A" w:rsidP="00ED325A">
      <w:pPr>
        <w:pStyle w:val="ae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5D98">
        <w:rPr>
          <w:bCs/>
          <w:sz w:val="28"/>
          <w:szCs w:val="28"/>
        </w:rPr>
        <w:lastRenderedPageBreak/>
        <w:t xml:space="preserve">3) </w:t>
      </w:r>
      <w:r w:rsidR="00C4090A" w:rsidRPr="003D5D98">
        <w:rPr>
          <w:bCs/>
          <w:sz w:val="28"/>
          <w:szCs w:val="28"/>
        </w:rPr>
        <w:t>организовать</w:t>
      </w:r>
      <w:r w:rsidRPr="003D5D98">
        <w:rPr>
          <w:bCs/>
          <w:sz w:val="28"/>
          <w:szCs w:val="28"/>
        </w:rPr>
        <w:t xml:space="preserve"> </w:t>
      </w:r>
      <w:r w:rsidR="00C4090A" w:rsidRPr="003D5D98">
        <w:rPr>
          <w:bCs/>
          <w:sz w:val="28"/>
          <w:szCs w:val="28"/>
        </w:rPr>
        <w:t xml:space="preserve">проведение лучшими специалистами в сфере закупок (с привлечением Института </w:t>
      </w:r>
      <w:proofErr w:type="spellStart"/>
      <w:r w:rsidR="00C4090A" w:rsidRPr="003D5D98">
        <w:rPr>
          <w:bCs/>
          <w:sz w:val="28"/>
          <w:szCs w:val="28"/>
        </w:rPr>
        <w:t>госзакупок</w:t>
      </w:r>
      <w:proofErr w:type="spellEnd"/>
      <w:r w:rsidR="00C4090A" w:rsidRPr="003D5D98">
        <w:rPr>
          <w:bCs/>
          <w:sz w:val="28"/>
          <w:szCs w:val="28"/>
        </w:rPr>
        <w:t xml:space="preserve"> г. Москва – ведущего учебного заведения России в сфере закупок)</w:t>
      </w:r>
      <w:r w:rsidRPr="003D5D98">
        <w:rPr>
          <w:bCs/>
          <w:sz w:val="28"/>
          <w:szCs w:val="28"/>
        </w:rPr>
        <w:t xml:space="preserve"> обучения специалистов </w:t>
      </w:r>
      <w:r w:rsidR="00C4090A" w:rsidRPr="003D5D98">
        <w:rPr>
          <w:bCs/>
          <w:sz w:val="28"/>
          <w:szCs w:val="28"/>
        </w:rPr>
        <w:t>заказчиков Свердловской, занимающихся закупками, с выдачей сертификатов установленного образца;</w:t>
      </w:r>
    </w:p>
    <w:p w:rsidR="00C4090A" w:rsidRPr="003D5D98" w:rsidRDefault="00C4090A" w:rsidP="00ED325A">
      <w:pPr>
        <w:pStyle w:val="ae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5D98">
        <w:rPr>
          <w:bCs/>
          <w:sz w:val="28"/>
          <w:szCs w:val="28"/>
        </w:rPr>
        <w:t>4) продолжить</w:t>
      </w:r>
      <w:r w:rsidR="00ED325A" w:rsidRPr="003D5D98">
        <w:rPr>
          <w:bCs/>
          <w:sz w:val="28"/>
          <w:szCs w:val="28"/>
        </w:rPr>
        <w:t xml:space="preserve"> методо</w:t>
      </w:r>
      <w:r w:rsidRPr="003D5D98">
        <w:rPr>
          <w:bCs/>
          <w:sz w:val="28"/>
          <w:szCs w:val="28"/>
        </w:rPr>
        <w:t xml:space="preserve">логическую работу с заказчиками путем </w:t>
      </w:r>
      <w:r w:rsidR="00ED325A" w:rsidRPr="003D5D98">
        <w:rPr>
          <w:bCs/>
          <w:sz w:val="28"/>
          <w:szCs w:val="28"/>
        </w:rPr>
        <w:t>проведени</w:t>
      </w:r>
      <w:r w:rsidRPr="003D5D98">
        <w:rPr>
          <w:bCs/>
          <w:sz w:val="28"/>
          <w:szCs w:val="28"/>
        </w:rPr>
        <w:t>я семинаров, рабочих встреч, «Дней открытых дверей»;</w:t>
      </w:r>
    </w:p>
    <w:p w:rsidR="00ED325A" w:rsidRPr="00293316" w:rsidRDefault="00C4090A" w:rsidP="00ED325A">
      <w:pPr>
        <w:pStyle w:val="ae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3D5D98">
        <w:rPr>
          <w:bCs/>
          <w:sz w:val="28"/>
          <w:szCs w:val="28"/>
        </w:rPr>
        <w:t>5) продолжить работу с муниципальными заказчиками при проведении</w:t>
      </w:r>
      <w:r w:rsidR="00ED325A" w:rsidRPr="003D5D98">
        <w:rPr>
          <w:bCs/>
          <w:sz w:val="28"/>
          <w:szCs w:val="28"/>
        </w:rPr>
        <w:t xml:space="preserve"> закупок с НМЦК 10 млн. рублей и более </w:t>
      </w:r>
      <w:r w:rsidRPr="003D5D98">
        <w:rPr>
          <w:bCs/>
          <w:sz w:val="28"/>
          <w:szCs w:val="28"/>
        </w:rPr>
        <w:t>на средства субсидий, выделяемых из бюджета Свердловской области муниципальным образованиям на реализацию государственных и муниципальных программ на основе заключенных с МО соглашений о передаче полномочий на определение поставщиков (подрядчиков, исполнителей)</w:t>
      </w:r>
      <w:r w:rsidR="00ED325A" w:rsidRPr="003D5D98">
        <w:rPr>
          <w:bCs/>
          <w:sz w:val="28"/>
          <w:szCs w:val="28"/>
        </w:rPr>
        <w:t>.</w:t>
      </w:r>
    </w:p>
    <w:p w:rsidR="00ED325A" w:rsidRPr="006E2FB1" w:rsidRDefault="00ED325A" w:rsidP="00ED325A">
      <w:pPr>
        <w:pStyle w:val="ae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</w:p>
    <w:p w:rsidR="00ED325A" w:rsidRDefault="00ED325A" w:rsidP="00ED325A">
      <w:pPr>
        <w:widowControl w:val="0"/>
        <w:autoSpaceDE w:val="0"/>
        <w:autoSpaceDN w:val="0"/>
        <w:adjustRightInd w:val="0"/>
        <w:rPr>
          <w:bCs/>
        </w:rPr>
      </w:pPr>
    </w:p>
    <w:p w:rsidR="00ED325A" w:rsidRDefault="00ED325A" w:rsidP="00F31ABF">
      <w:pPr>
        <w:ind w:firstLine="709"/>
        <w:rPr>
          <w:bCs/>
          <w:sz w:val="28"/>
          <w:szCs w:val="28"/>
        </w:rPr>
      </w:pPr>
    </w:p>
    <w:sectPr w:rsidR="00ED325A" w:rsidSect="00427300">
      <w:headerReference w:type="default" r:id="rId47"/>
      <w:footerReference w:type="even" r:id="rId48"/>
      <w:pgSz w:w="11906" w:h="16838"/>
      <w:pgMar w:top="993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27" w:rsidRDefault="007B1A27">
      <w:r>
        <w:separator/>
      </w:r>
    </w:p>
  </w:endnote>
  <w:endnote w:type="continuationSeparator" w:id="0">
    <w:p w:rsidR="007B1A27" w:rsidRDefault="007B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21" w:rsidRDefault="00377021" w:rsidP="001B44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021" w:rsidRDefault="003770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27" w:rsidRDefault="007B1A27">
      <w:r>
        <w:separator/>
      </w:r>
    </w:p>
  </w:footnote>
  <w:footnote w:type="continuationSeparator" w:id="0">
    <w:p w:rsidR="007B1A27" w:rsidRDefault="007B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900787"/>
    </w:sdtPr>
    <w:sdtContent>
      <w:p w:rsidR="00377021" w:rsidRDefault="0037702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9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77021" w:rsidRDefault="00377021" w:rsidP="007135A0">
    <w:pPr>
      <w:pStyle w:val="af0"/>
      <w:tabs>
        <w:tab w:val="clear" w:pos="4677"/>
        <w:tab w:val="clear" w:pos="9355"/>
        <w:tab w:val="left" w:pos="55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00"/>
    <w:multiLevelType w:val="hybridMultilevel"/>
    <w:tmpl w:val="6672A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71843"/>
    <w:multiLevelType w:val="hybridMultilevel"/>
    <w:tmpl w:val="46DA8DC8"/>
    <w:lvl w:ilvl="0" w:tplc="C73CF81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D4210"/>
    <w:multiLevelType w:val="multilevel"/>
    <w:tmpl w:val="238C3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3">
    <w:nsid w:val="2F7A270A"/>
    <w:multiLevelType w:val="hybridMultilevel"/>
    <w:tmpl w:val="021AD788"/>
    <w:lvl w:ilvl="0" w:tplc="D17C2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F928E4"/>
    <w:multiLevelType w:val="hybridMultilevel"/>
    <w:tmpl w:val="CBDC6A00"/>
    <w:lvl w:ilvl="0" w:tplc="09208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9F3C08"/>
    <w:multiLevelType w:val="hybridMultilevel"/>
    <w:tmpl w:val="1E227A1E"/>
    <w:lvl w:ilvl="0" w:tplc="F7D8B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8C6350"/>
    <w:multiLevelType w:val="hybridMultilevel"/>
    <w:tmpl w:val="CC509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450015"/>
    <w:multiLevelType w:val="hybridMultilevel"/>
    <w:tmpl w:val="8A823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79C9"/>
    <w:multiLevelType w:val="hybridMultilevel"/>
    <w:tmpl w:val="0FA46156"/>
    <w:lvl w:ilvl="0" w:tplc="A7608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22FAC"/>
    <w:multiLevelType w:val="hybridMultilevel"/>
    <w:tmpl w:val="2C52B994"/>
    <w:lvl w:ilvl="0" w:tplc="BD922A72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3710A"/>
    <w:multiLevelType w:val="hybridMultilevel"/>
    <w:tmpl w:val="1100AC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0"/>
    <w:rsid w:val="00001BA6"/>
    <w:rsid w:val="00001F14"/>
    <w:rsid w:val="0000220F"/>
    <w:rsid w:val="00003341"/>
    <w:rsid w:val="0000387C"/>
    <w:rsid w:val="00003B49"/>
    <w:rsid w:val="00005801"/>
    <w:rsid w:val="00005D99"/>
    <w:rsid w:val="00006563"/>
    <w:rsid w:val="00006654"/>
    <w:rsid w:val="00006747"/>
    <w:rsid w:val="0000764E"/>
    <w:rsid w:val="000078FB"/>
    <w:rsid w:val="00007CA1"/>
    <w:rsid w:val="00011284"/>
    <w:rsid w:val="00011E59"/>
    <w:rsid w:val="00012387"/>
    <w:rsid w:val="000128A0"/>
    <w:rsid w:val="00012DDA"/>
    <w:rsid w:val="00012E42"/>
    <w:rsid w:val="00014035"/>
    <w:rsid w:val="000145E5"/>
    <w:rsid w:val="00014EEE"/>
    <w:rsid w:val="0001510C"/>
    <w:rsid w:val="000174DD"/>
    <w:rsid w:val="000208CF"/>
    <w:rsid w:val="0002119F"/>
    <w:rsid w:val="000218F3"/>
    <w:rsid w:val="0002347F"/>
    <w:rsid w:val="00023B95"/>
    <w:rsid w:val="000243CB"/>
    <w:rsid w:val="00025DCD"/>
    <w:rsid w:val="00026470"/>
    <w:rsid w:val="00027E8D"/>
    <w:rsid w:val="00030012"/>
    <w:rsid w:val="000302CE"/>
    <w:rsid w:val="00030CBF"/>
    <w:rsid w:val="0003141E"/>
    <w:rsid w:val="00032A58"/>
    <w:rsid w:val="00032A60"/>
    <w:rsid w:val="00032CD9"/>
    <w:rsid w:val="000331D1"/>
    <w:rsid w:val="0003326B"/>
    <w:rsid w:val="0003469C"/>
    <w:rsid w:val="00034BC7"/>
    <w:rsid w:val="00036762"/>
    <w:rsid w:val="00036896"/>
    <w:rsid w:val="0003751A"/>
    <w:rsid w:val="00040FEB"/>
    <w:rsid w:val="0004105D"/>
    <w:rsid w:val="000411A6"/>
    <w:rsid w:val="00042245"/>
    <w:rsid w:val="00043328"/>
    <w:rsid w:val="00043D04"/>
    <w:rsid w:val="0004511E"/>
    <w:rsid w:val="00046379"/>
    <w:rsid w:val="00046DD7"/>
    <w:rsid w:val="00051D9A"/>
    <w:rsid w:val="00052706"/>
    <w:rsid w:val="00052891"/>
    <w:rsid w:val="00052FAC"/>
    <w:rsid w:val="000535D9"/>
    <w:rsid w:val="00054127"/>
    <w:rsid w:val="0005440C"/>
    <w:rsid w:val="00054425"/>
    <w:rsid w:val="000546A5"/>
    <w:rsid w:val="00054CD1"/>
    <w:rsid w:val="000551D2"/>
    <w:rsid w:val="00056A13"/>
    <w:rsid w:val="00056E42"/>
    <w:rsid w:val="00057935"/>
    <w:rsid w:val="00057A86"/>
    <w:rsid w:val="00060241"/>
    <w:rsid w:val="00063523"/>
    <w:rsid w:val="00063BBA"/>
    <w:rsid w:val="00064C81"/>
    <w:rsid w:val="00065342"/>
    <w:rsid w:val="00065BF1"/>
    <w:rsid w:val="00066A4C"/>
    <w:rsid w:val="00070D06"/>
    <w:rsid w:val="00071215"/>
    <w:rsid w:val="00071D55"/>
    <w:rsid w:val="00072A7F"/>
    <w:rsid w:val="00072D35"/>
    <w:rsid w:val="00073B1B"/>
    <w:rsid w:val="00073CD4"/>
    <w:rsid w:val="000748E3"/>
    <w:rsid w:val="00074ABC"/>
    <w:rsid w:val="00075711"/>
    <w:rsid w:val="0007643F"/>
    <w:rsid w:val="00076DDA"/>
    <w:rsid w:val="00080998"/>
    <w:rsid w:val="00080B34"/>
    <w:rsid w:val="0008199F"/>
    <w:rsid w:val="00082255"/>
    <w:rsid w:val="0008331C"/>
    <w:rsid w:val="000835A5"/>
    <w:rsid w:val="000838FA"/>
    <w:rsid w:val="00083A3F"/>
    <w:rsid w:val="00083C0D"/>
    <w:rsid w:val="00085259"/>
    <w:rsid w:val="000863B1"/>
    <w:rsid w:val="000869FC"/>
    <w:rsid w:val="000879FE"/>
    <w:rsid w:val="000905B9"/>
    <w:rsid w:val="000905FB"/>
    <w:rsid w:val="00090B8A"/>
    <w:rsid w:val="00090D1D"/>
    <w:rsid w:val="00091E8C"/>
    <w:rsid w:val="00092494"/>
    <w:rsid w:val="00092D16"/>
    <w:rsid w:val="000930A8"/>
    <w:rsid w:val="00094741"/>
    <w:rsid w:val="00094F8E"/>
    <w:rsid w:val="0009537A"/>
    <w:rsid w:val="000959A7"/>
    <w:rsid w:val="00095BD6"/>
    <w:rsid w:val="0009753D"/>
    <w:rsid w:val="00097A8D"/>
    <w:rsid w:val="000A0377"/>
    <w:rsid w:val="000A08ED"/>
    <w:rsid w:val="000A0C71"/>
    <w:rsid w:val="000A3DDA"/>
    <w:rsid w:val="000A40F3"/>
    <w:rsid w:val="000A413B"/>
    <w:rsid w:val="000A4256"/>
    <w:rsid w:val="000A543C"/>
    <w:rsid w:val="000A5685"/>
    <w:rsid w:val="000A74AD"/>
    <w:rsid w:val="000B01B3"/>
    <w:rsid w:val="000B05D8"/>
    <w:rsid w:val="000B10A4"/>
    <w:rsid w:val="000B15A0"/>
    <w:rsid w:val="000B1610"/>
    <w:rsid w:val="000B17C6"/>
    <w:rsid w:val="000B1869"/>
    <w:rsid w:val="000B286F"/>
    <w:rsid w:val="000B2E6A"/>
    <w:rsid w:val="000B3CA6"/>
    <w:rsid w:val="000B4974"/>
    <w:rsid w:val="000B6047"/>
    <w:rsid w:val="000B6088"/>
    <w:rsid w:val="000B62AA"/>
    <w:rsid w:val="000B690B"/>
    <w:rsid w:val="000B6E37"/>
    <w:rsid w:val="000B7115"/>
    <w:rsid w:val="000B71B2"/>
    <w:rsid w:val="000C1F11"/>
    <w:rsid w:val="000C2692"/>
    <w:rsid w:val="000C27EC"/>
    <w:rsid w:val="000C48F4"/>
    <w:rsid w:val="000C4982"/>
    <w:rsid w:val="000C51A0"/>
    <w:rsid w:val="000C6081"/>
    <w:rsid w:val="000C7C53"/>
    <w:rsid w:val="000D0911"/>
    <w:rsid w:val="000D219D"/>
    <w:rsid w:val="000D389B"/>
    <w:rsid w:val="000D58FD"/>
    <w:rsid w:val="000D5C4E"/>
    <w:rsid w:val="000D60C7"/>
    <w:rsid w:val="000D6CB9"/>
    <w:rsid w:val="000D7520"/>
    <w:rsid w:val="000D75EE"/>
    <w:rsid w:val="000D7D29"/>
    <w:rsid w:val="000E0260"/>
    <w:rsid w:val="000E3CF6"/>
    <w:rsid w:val="000E3D7A"/>
    <w:rsid w:val="000E43F2"/>
    <w:rsid w:val="000E47BD"/>
    <w:rsid w:val="000E62FD"/>
    <w:rsid w:val="000E7D17"/>
    <w:rsid w:val="000F0CCE"/>
    <w:rsid w:val="000F1E1A"/>
    <w:rsid w:val="000F2C96"/>
    <w:rsid w:val="000F368E"/>
    <w:rsid w:val="000F74EA"/>
    <w:rsid w:val="001015F9"/>
    <w:rsid w:val="00101BC0"/>
    <w:rsid w:val="00102178"/>
    <w:rsid w:val="00103169"/>
    <w:rsid w:val="001049A1"/>
    <w:rsid w:val="00106622"/>
    <w:rsid w:val="001075DA"/>
    <w:rsid w:val="00107942"/>
    <w:rsid w:val="001105CC"/>
    <w:rsid w:val="0011107D"/>
    <w:rsid w:val="00111146"/>
    <w:rsid w:val="0011187C"/>
    <w:rsid w:val="00111A17"/>
    <w:rsid w:val="0011223E"/>
    <w:rsid w:val="00112267"/>
    <w:rsid w:val="0011433C"/>
    <w:rsid w:val="00115178"/>
    <w:rsid w:val="00115453"/>
    <w:rsid w:val="001155BB"/>
    <w:rsid w:val="001158BE"/>
    <w:rsid w:val="00120337"/>
    <w:rsid w:val="0012097B"/>
    <w:rsid w:val="00120BAF"/>
    <w:rsid w:val="001245C8"/>
    <w:rsid w:val="0012471E"/>
    <w:rsid w:val="001248EF"/>
    <w:rsid w:val="00125350"/>
    <w:rsid w:val="00127449"/>
    <w:rsid w:val="0012744D"/>
    <w:rsid w:val="00131350"/>
    <w:rsid w:val="001321DD"/>
    <w:rsid w:val="001325D9"/>
    <w:rsid w:val="00132BC9"/>
    <w:rsid w:val="00132EB9"/>
    <w:rsid w:val="0013366B"/>
    <w:rsid w:val="00133DDA"/>
    <w:rsid w:val="00135E30"/>
    <w:rsid w:val="0013639D"/>
    <w:rsid w:val="00136B4C"/>
    <w:rsid w:val="00136F6D"/>
    <w:rsid w:val="00141B76"/>
    <w:rsid w:val="001422DF"/>
    <w:rsid w:val="00142E85"/>
    <w:rsid w:val="0014359D"/>
    <w:rsid w:val="001444F9"/>
    <w:rsid w:val="00144E4D"/>
    <w:rsid w:val="00145708"/>
    <w:rsid w:val="00145A2F"/>
    <w:rsid w:val="00146293"/>
    <w:rsid w:val="00146483"/>
    <w:rsid w:val="0015120B"/>
    <w:rsid w:val="00151D3C"/>
    <w:rsid w:val="00151E44"/>
    <w:rsid w:val="00152D53"/>
    <w:rsid w:val="00153B0E"/>
    <w:rsid w:val="001561A2"/>
    <w:rsid w:val="00156921"/>
    <w:rsid w:val="00156DEA"/>
    <w:rsid w:val="00157ED2"/>
    <w:rsid w:val="001603F7"/>
    <w:rsid w:val="001609D3"/>
    <w:rsid w:val="00160C57"/>
    <w:rsid w:val="00161D3A"/>
    <w:rsid w:val="00162A1C"/>
    <w:rsid w:val="00162E79"/>
    <w:rsid w:val="00164D35"/>
    <w:rsid w:val="00165FCB"/>
    <w:rsid w:val="00166390"/>
    <w:rsid w:val="0016745E"/>
    <w:rsid w:val="00170A21"/>
    <w:rsid w:val="00170CB6"/>
    <w:rsid w:val="0017175D"/>
    <w:rsid w:val="0017204D"/>
    <w:rsid w:val="001724EC"/>
    <w:rsid w:val="00172A40"/>
    <w:rsid w:val="00172E94"/>
    <w:rsid w:val="00173598"/>
    <w:rsid w:val="00173FC5"/>
    <w:rsid w:val="00174589"/>
    <w:rsid w:val="00176950"/>
    <w:rsid w:val="00176F5E"/>
    <w:rsid w:val="00177603"/>
    <w:rsid w:val="001805CE"/>
    <w:rsid w:val="0018062F"/>
    <w:rsid w:val="00180B63"/>
    <w:rsid w:val="00181754"/>
    <w:rsid w:val="00182841"/>
    <w:rsid w:val="001832A4"/>
    <w:rsid w:val="001863C6"/>
    <w:rsid w:val="00186758"/>
    <w:rsid w:val="00186882"/>
    <w:rsid w:val="00186C91"/>
    <w:rsid w:val="00187616"/>
    <w:rsid w:val="00190294"/>
    <w:rsid w:val="001906D8"/>
    <w:rsid w:val="00190BC5"/>
    <w:rsid w:val="00191B76"/>
    <w:rsid w:val="00193091"/>
    <w:rsid w:val="001930AB"/>
    <w:rsid w:val="00193605"/>
    <w:rsid w:val="00195467"/>
    <w:rsid w:val="001958F8"/>
    <w:rsid w:val="00195A91"/>
    <w:rsid w:val="00196423"/>
    <w:rsid w:val="001972B7"/>
    <w:rsid w:val="00197811"/>
    <w:rsid w:val="00197856"/>
    <w:rsid w:val="00197AEC"/>
    <w:rsid w:val="00197E06"/>
    <w:rsid w:val="001A0475"/>
    <w:rsid w:val="001A0EEE"/>
    <w:rsid w:val="001A1D9E"/>
    <w:rsid w:val="001A3017"/>
    <w:rsid w:val="001A3674"/>
    <w:rsid w:val="001A47CC"/>
    <w:rsid w:val="001A4D66"/>
    <w:rsid w:val="001A5481"/>
    <w:rsid w:val="001A681E"/>
    <w:rsid w:val="001A6B3B"/>
    <w:rsid w:val="001A7231"/>
    <w:rsid w:val="001A74E3"/>
    <w:rsid w:val="001A7835"/>
    <w:rsid w:val="001A7A83"/>
    <w:rsid w:val="001A7C32"/>
    <w:rsid w:val="001B014D"/>
    <w:rsid w:val="001B05A5"/>
    <w:rsid w:val="001B0BC1"/>
    <w:rsid w:val="001B1464"/>
    <w:rsid w:val="001B32AD"/>
    <w:rsid w:val="001B442B"/>
    <w:rsid w:val="001B45B0"/>
    <w:rsid w:val="001B45E8"/>
    <w:rsid w:val="001B5056"/>
    <w:rsid w:val="001B6814"/>
    <w:rsid w:val="001B6FB9"/>
    <w:rsid w:val="001B72E7"/>
    <w:rsid w:val="001C0BAA"/>
    <w:rsid w:val="001C277C"/>
    <w:rsid w:val="001C3372"/>
    <w:rsid w:val="001C34C2"/>
    <w:rsid w:val="001C582E"/>
    <w:rsid w:val="001C616E"/>
    <w:rsid w:val="001C66CB"/>
    <w:rsid w:val="001C7124"/>
    <w:rsid w:val="001D165B"/>
    <w:rsid w:val="001D2D12"/>
    <w:rsid w:val="001D352E"/>
    <w:rsid w:val="001D3976"/>
    <w:rsid w:val="001D40C0"/>
    <w:rsid w:val="001D42EB"/>
    <w:rsid w:val="001D439B"/>
    <w:rsid w:val="001D4869"/>
    <w:rsid w:val="001D5845"/>
    <w:rsid w:val="001D74AA"/>
    <w:rsid w:val="001E00C9"/>
    <w:rsid w:val="001E0109"/>
    <w:rsid w:val="001E24C4"/>
    <w:rsid w:val="001E314E"/>
    <w:rsid w:val="001E401F"/>
    <w:rsid w:val="001E4A90"/>
    <w:rsid w:val="001E4E6C"/>
    <w:rsid w:val="001E4FCE"/>
    <w:rsid w:val="001E5592"/>
    <w:rsid w:val="001E6CA7"/>
    <w:rsid w:val="001E77E4"/>
    <w:rsid w:val="001F0788"/>
    <w:rsid w:val="001F0E61"/>
    <w:rsid w:val="001F27C4"/>
    <w:rsid w:val="001F31F9"/>
    <w:rsid w:val="001F4CFF"/>
    <w:rsid w:val="001F54A9"/>
    <w:rsid w:val="001F67D7"/>
    <w:rsid w:val="001F7313"/>
    <w:rsid w:val="001F7568"/>
    <w:rsid w:val="001F76C4"/>
    <w:rsid w:val="00200062"/>
    <w:rsid w:val="00201A36"/>
    <w:rsid w:val="00202A5F"/>
    <w:rsid w:val="002036AE"/>
    <w:rsid w:val="0020396C"/>
    <w:rsid w:val="00204218"/>
    <w:rsid w:val="00205706"/>
    <w:rsid w:val="00205CB7"/>
    <w:rsid w:val="00206525"/>
    <w:rsid w:val="00206B20"/>
    <w:rsid w:val="00206EE3"/>
    <w:rsid w:val="002072A1"/>
    <w:rsid w:val="00207A5E"/>
    <w:rsid w:val="00207E0F"/>
    <w:rsid w:val="002142D6"/>
    <w:rsid w:val="00214BC7"/>
    <w:rsid w:val="00215CDE"/>
    <w:rsid w:val="00215D51"/>
    <w:rsid w:val="00215E05"/>
    <w:rsid w:val="002160F7"/>
    <w:rsid w:val="00217294"/>
    <w:rsid w:val="0022047D"/>
    <w:rsid w:val="00220554"/>
    <w:rsid w:val="00220824"/>
    <w:rsid w:val="002219FA"/>
    <w:rsid w:val="00222153"/>
    <w:rsid w:val="00222806"/>
    <w:rsid w:val="00222A9E"/>
    <w:rsid w:val="002230E1"/>
    <w:rsid w:val="00224725"/>
    <w:rsid w:val="002258AB"/>
    <w:rsid w:val="00225DEB"/>
    <w:rsid w:val="00226062"/>
    <w:rsid w:val="00226809"/>
    <w:rsid w:val="00226BE7"/>
    <w:rsid w:val="002303D1"/>
    <w:rsid w:val="00230639"/>
    <w:rsid w:val="0023070F"/>
    <w:rsid w:val="00232D99"/>
    <w:rsid w:val="00233C07"/>
    <w:rsid w:val="00233DB5"/>
    <w:rsid w:val="00233DF0"/>
    <w:rsid w:val="00233F5A"/>
    <w:rsid w:val="00234132"/>
    <w:rsid w:val="0023475B"/>
    <w:rsid w:val="00234D77"/>
    <w:rsid w:val="00234F42"/>
    <w:rsid w:val="0023530C"/>
    <w:rsid w:val="002360EF"/>
    <w:rsid w:val="002368B3"/>
    <w:rsid w:val="00236CAB"/>
    <w:rsid w:val="00241204"/>
    <w:rsid w:val="00243370"/>
    <w:rsid w:val="00243C12"/>
    <w:rsid w:val="00244A94"/>
    <w:rsid w:val="00244D00"/>
    <w:rsid w:val="00244FED"/>
    <w:rsid w:val="00247267"/>
    <w:rsid w:val="0024742C"/>
    <w:rsid w:val="00247632"/>
    <w:rsid w:val="00247890"/>
    <w:rsid w:val="002479FB"/>
    <w:rsid w:val="00247AD1"/>
    <w:rsid w:val="00247B2D"/>
    <w:rsid w:val="00250E41"/>
    <w:rsid w:val="00251437"/>
    <w:rsid w:val="002519B3"/>
    <w:rsid w:val="00251C5B"/>
    <w:rsid w:val="00252CD4"/>
    <w:rsid w:val="00252EE5"/>
    <w:rsid w:val="00252F73"/>
    <w:rsid w:val="00252FA6"/>
    <w:rsid w:val="00254651"/>
    <w:rsid w:val="00254961"/>
    <w:rsid w:val="002553BA"/>
    <w:rsid w:val="002558F5"/>
    <w:rsid w:val="0025649C"/>
    <w:rsid w:val="00257112"/>
    <w:rsid w:val="002579C4"/>
    <w:rsid w:val="00257F18"/>
    <w:rsid w:val="002601F7"/>
    <w:rsid w:val="0026064A"/>
    <w:rsid w:val="00261455"/>
    <w:rsid w:val="00263D5B"/>
    <w:rsid w:val="00264510"/>
    <w:rsid w:val="0026495F"/>
    <w:rsid w:val="002649EA"/>
    <w:rsid w:val="00264C17"/>
    <w:rsid w:val="00264D9D"/>
    <w:rsid w:val="002653B1"/>
    <w:rsid w:val="0026795E"/>
    <w:rsid w:val="00270AD5"/>
    <w:rsid w:val="00270C19"/>
    <w:rsid w:val="00276677"/>
    <w:rsid w:val="0027755D"/>
    <w:rsid w:val="00277A0F"/>
    <w:rsid w:val="00277AB8"/>
    <w:rsid w:val="00280664"/>
    <w:rsid w:val="00280D21"/>
    <w:rsid w:val="0028190A"/>
    <w:rsid w:val="00281A35"/>
    <w:rsid w:val="00281F70"/>
    <w:rsid w:val="002821DF"/>
    <w:rsid w:val="002823A7"/>
    <w:rsid w:val="00282951"/>
    <w:rsid w:val="00284362"/>
    <w:rsid w:val="00284CEC"/>
    <w:rsid w:val="00285038"/>
    <w:rsid w:val="00290DE4"/>
    <w:rsid w:val="00292073"/>
    <w:rsid w:val="00292D55"/>
    <w:rsid w:val="00293316"/>
    <w:rsid w:val="00293518"/>
    <w:rsid w:val="002959E5"/>
    <w:rsid w:val="0029678E"/>
    <w:rsid w:val="00296E58"/>
    <w:rsid w:val="002A17E5"/>
    <w:rsid w:val="002A260A"/>
    <w:rsid w:val="002A296A"/>
    <w:rsid w:val="002A2C68"/>
    <w:rsid w:val="002A6BA1"/>
    <w:rsid w:val="002A6EF1"/>
    <w:rsid w:val="002B0ED2"/>
    <w:rsid w:val="002B0FC4"/>
    <w:rsid w:val="002B1CFE"/>
    <w:rsid w:val="002B2BAD"/>
    <w:rsid w:val="002B3382"/>
    <w:rsid w:val="002B3481"/>
    <w:rsid w:val="002B412A"/>
    <w:rsid w:val="002B48C5"/>
    <w:rsid w:val="002B492F"/>
    <w:rsid w:val="002B5459"/>
    <w:rsid w:val="002B667F"/>
    <w:rsid w:val="002B687F"/>
    <w:rsid w:val="002B6C48"/>
    <w:rsid w:val="002B7A5A"/>
    <w:rsid w:val="002C0368"/>
    <w:rsid w:val="002C0408"/>
    <w:rsid w:val="002C11B1"/>
    <w:rsid w:val="002C19D4"/>
    <w:rsid w:val="002C1BD4"/>
    <w:rsid w:val="002C3128"/>
    <w:rsid w:val="002C374D"/>
    <w:rsid w:val="002C3C2A"/>
    <w:rsid w:val="002C40E3"/>
    <w:rsid w:val="002C4C4B"/>
    <w:rsid w:val="002C61E2"/>
    <w:rsid w:val="002C64AA"/>
    <w:rsid w:val="002C6BCF"/>
    <w:rsid w:val="002D0E97"/>
    <w:rsid w:val="002D1A38"/>
    <w:rsid w:val="002D1F8C"/>
    <w:rsid w:val="002D27E0"/>
    <w:rsid w:val="002D3401"/>
    <w:rsid w:val="002D43DE"/>
    <w:rsid w:val="002D5005"/>
    <w:rsid w:val="002D539E"/>
    <w:rsid w:val="002D58B5"/>
    <w:rsid w:val="002D61E6"/>
    <w:rsid w:val="002D6EF2"/>
    <w:rsid w:val="002E1082"/>
    <w:rsid w:val="002E1F83"/>
    <w:rsid w:val="002E21A1"/>
    <w:rsid w:val="002E270E"/>
    <w:rsid w:val="002E2EBF"/>
    <w:rsid w:val="002E5470"/>
    <w:rsid w:val="002E548B"/>
    <w:rsid w:val="002E5FF1"/>
    <w:rsid w:val="002E62EE"/>
    <w:rsid w:val="002F0310"/>
    <w:rsid w:val="002F1EE9"/>
    <w:rsid w:val="002F4623"/>
    <w:rsid w:val="002F4679"/>
    <w:rsid w:val="002F67C1"/>
    <w:rsid w:val="002F6EAA"/>
    <w:rsid w:val="002F75C9"/>
    <w:rsid w:val="003002F3"/>
    <w:rsid w:val="0030075F"/>
    <w:rsid w:val="00300E7A"/>
    <w:rsid w:val="003010DF"/>
    <w:rsid w:val="00304046"/>
    <w:rsid w:val="00304476"/>
    <w:rsid w:val="00305B88"/>
    <w:rsid w:val="00306FD8"/>
    <w:rsid w:val="00307ED6"/>
    <w:rsid w:val="0031022D"/>
    <w:rsid w:val="00310903"/>
    <w:rsid w:val="00311D2A"/>
    <w:rsid w:val="0031209B"/>
    <w:rsid w:val="003122F9"/>
    <w:rsid w:val="00312521"/>
    <w:rsid w:val="00312524"/>
    <w:rsid w:val="00312C95"/>
    <w:rsid w:val="003137CC"/>
    <w:rsid w:val="003140DB"/>
    <w:rsid w:val="00314C0F"/>
    <w:rsid w:val="003156B4"/>
    <w:rsid w:val="00315BF8"/>
    <w:rsid w:val="00315CC9"/>
    <w:rsid w:val="00315E92"/>
    <w:rsid w:val="00316CA9"/>
    <w:rsid w:val="003170D9"/>
    <w:rsid w:val="00317AED"/>
    <w:rsid w:val="003200FB"/>
    <w:rsid w:val="003203E0"/>
    <w:rsid w:val="003222F0"/>
    <w:rsid w:val="00323490"/>
    <w:rsid w:val="003242BF"/>
    <w:rsid w:val="003259F4"/>
    <w:rsid w:val="00326757"/>
    <w:rsid w:val="003273A9"/>
    <w:rsid w:val="003301D5"/>
    <w:rsid w:val="0033116A"/>
    <w:rsid w:val="003311A9"/>
    <w:rsid w:val="0033254B"/>
    <w:rsid w:val="00332892"/>
    <w:rsid w:val="00332CC8"/>
    <w:rsid w:val="00333633"/>
    <w:rsid w:val="003360FF"/>
    <w:rsid w:val="0033774D"/>
    <w:rsid w:val="0034002B"/>
    <w:rsid w:val="003403B0"/>
    <w:rsid w:val="00340738"/>
    <w:rsid w:val="00342D75"/>
    <w:rsid w:val="00343A11"/>
    <w:rsid w:val="00343A91"/>
    <w:rsid w:val="00343AC5"/>
    <w:rsid w:val="003445E8"/>
    <w:rsid w:val="003445FD"/>
    <w:rsid w:val="00344EB3"/>
    <w:rsid w:val="00346896"/>
    <w:rsid w:val="00346DD3"/>
    <w:rsid w:val="00346EB4"/>
    <w:rsid w:val="00347604"/>
    <w:rsid w:val="00347987"/>
    <w:rsid w:val="00350DAD"/>
    <w:rsid w:val="00351C03"/>
    <w:rsid w:val="00351F20"/>
    <w:rsid w:val="0035203A"/>
    <w:rsid w:val="00352C98"/>
    <w:rsid w:val="00353C9E"/>
    <w:rsid w:val="003545DC"/>
    <w:rsid w:val="00355332"/>
    <w:rsid w:val="00355353"/>
    <w:rsid w:val="003569A3"/>
    <w:rsid w:val="003630CF"/>
    <w:rsid w:val="00365E1C"/>
    <w:rsid w:val="00365FFB"/>
    <w:rsid w:val="00366394"/>
    <w:rsid w:val="00367178"/>
    <w:rsid w:val="00367777"/>
    <w:rsid w:val="003706D9"/>
    <w:rsid w:val="00371803"/>
    <w:rsid w:val="003722A4"/>
    <w:rsid w:val="00372FCB"/>
    <w:rsid w:val="00373D36"/>
    <w:rsid w:val="00374302"/>
    <w:rsid w:val="0037536D"/>
    <w:rsid w:val="00377021"/>
    <w:rsid w:val="003807E5"/>
    <w:rsid w:val="00380E7F"/>
    <w:rsid w:val="003817A2"/>
    <w:rsid w:val="0038193D"/>
    <w:rsid w:val="003823CE"/>
    <w:rsid w:val="00382585"/>
    <w:rsid w:val="00384725"/>
    <w:rsid w:val="00385349"/>
    <w:rsid w:val="00386446"/>
    <w:rsid w:val="00386705"/>
    <w:rsid w:val="00387C35"/>
    <w:rsid w:val="0039166C"/>
    <w:rsid w:val="00391FA2"/>
    <w:rsid w:val="00392656"/>
    <w:rsid w:val="003928F4"/>
    <w:rsid w:val="00393562"/>
    <w:rsid w:val="0039417A"/>
    <w:rsid w:val="003955B9"/>
    <w:rsid w:val="003969D4"/>
    <w:rsid w:val="003A032C"/>
    <w:rsid w:val="003A521C"/>
    <w:rsid w:val="003B065C"/>
    <w:rsid w:val="003B0679"/>
    <w:rsid w:val="003B0BD6"/>
    <w:rsid w:val="003B158C"/>
    <w:rsid w:val="003B2877"/>
    <w:rsid w:val="003B36BC"/>
    <w:rsid w:val="003B5051"/>
    <w:rsid w:val="003B52E1"/>
    <w:rsid w:val="003B5A0B"/>
    <w:rsid w:val="003B5ADF"/>
    <w:rsid w:val="003B6106"/>
    <w:rsid w:val="003B691D"/>
    <w:rsid w:val="003B72C6"/>
    <w:rsid w:val="003B7806"/>
    <w:rsid w:val="003B7C79"/>
    <w:rsid w:val="003C293F"/>
    <w:rsid w:val="003C3189"/>
    <w:rsid w:val="003C32FD"/>
    <w:rsid w:val="003C3E1A"/>
    <w:rsid w:val="003C4156"/>
    <w:rsid w:val="003C5388"/>
    <w:rsid w:val="003C6D98"/>
    <w:rsid w:val="003C72F5"/>
    <w:rsid w:val="003D3D71"/>
    <w:rsid w:val="003D4C5F"/>
    <w:rsid w:val="003D4E49"/>
    <w:rsid w:val="003D574B"/>
    <w:rsid w:val="003D59A4"/>
    <w:rsid w:val="003D59D2"/>
    <w:rsid w:val="003D5D98"/>
    <w:rsid w:val="003D5FD6"/>
    <w:rsid w:val="003D63DC"/>
    <w:rsid w:val="003D66B7"/>
    <w:rsid w:val="003D6A2B"/>
    <w:rsid w:val="003D6A4D"/>
    <w:rsid w:val="003D6A7D"/>
    <w:rsid w:val="003E0C03"/>
    <w:rsid w:val="003E4A9C"/>
    <w:rsid w:val="003E509D"/>
    <w:rsid w:val="003E5BEB"/>
    <w:rsid w:val="003E5CF3"/>
    <w:rsid w:val="003E63E1"/>
    <w:rsid w:val="003E695D"/>
    <w:rsid w:val="003E781A"/>
    <w:rsid w:val="003F03C8"/>
    <w:rsid w:val="003F08FF"/>
    <w:rsid w:val="003F15CA"/>
    <w:rsid w:val="003F199F"/>
    <w:rsid w:val="003F289D"/>
    <w:rsid w:val="003F2918"/>
    <w:rsid w:val="003F2929"/>
    <w:rsid w:val="003F3A76"/>
    <w:rsid w:val="003F5698"/>
    <w:rsid w:val="003F5918"/>
    <w:rsid w:val="003F601D"/>
    <w:rsid w:val="003F6A42"/>
    <w:rsid w:val="003F7499"/>
    <w:rsid w:val="003F774F"/>
    <w:rsid w:val="003F7D49"/>
    <w:rsid w:val="00400382"/>
    <w:rsid w:val="004008C2"/>
    <w:rsid w:val="0040099C"/>
    <w:rsid w:val="004018FB"/>
    <w:rsid w:val="0040193E"/>
    <w:rsid w:val="0040281B"/>
    <w:rsid w:val="00402C13"/>
    <w:rsid w:val="00402E39"/>
    <w:rsid w:val="00403864"/>
    <w:rsid w:val="00403B23"/>
    <w:rsid w:val="004044DD"/>
    <w:rsid w:val="00404CB9"/>
    <w:rsid w:val="00404DA0"/>
    <w:rsid w:val="00405E99"/>
    <w:rsid w:val="0040665F"/>
    <w:rsid w:val="00406DD3"/>
    <w:rsid w:val="004077AB"/>
    <w:rsid w:val="00407881"/>
    <w:rsid w:val="00407D6F"/>
    <w:rsid w:val="00407FDF"/>
    <w:rsid w:val="00410492"/>
    <w:rsid w:val="0041110D"/>
    <w:rsid w:val="0041283E"/>
    <w:rsid w:val="00412943"/>
    <w:rsid w:val="004132A9"/>
    <w:rsid w:val="00413D84"/>
    <w:rsid w:val="00414368"/>
    <w:rsid w:val="0041502C"/>
    <w:rsid w:val="00415C81"/>
    <w:rsid w:val="00417296"/>
    <w:rsid w:val="00420105"/>
    <w:rsid w:val="004205E5"/>
    <w:rsid w:val="004209E7"/>
    <w:rsid w:val="00421E8E"/>
    <w:rsid w:val="00422A34"/>
    <w:rsid w:val="00422E4E"/>
    <w:rsid w:val="00422FCC"/>
    <w:rsid w:val="00423719"/>
    <w:rsid w:val="0042576D"/>
    <w:rsid w:val="00425838"/>
    <w:rsid w:val="0042661C"/>
    <w:rsid w:val="004271E0"/>
    <w:rsid w:val="00427300"/>
    <w:rsid w:val="004275B4"/>
    <w:rsid w:val="00430F26"/>
    <w:rsid w:val="00430F2D"/>
    <w:rsid w:val="00432705"/>
    <w:rsid w:val="00432BB8"/>
    <w:rsid w:val="004330C1"/>
    <w:rsid w:val="004346A8"/>
    <w:rsid w:val="00434A32"/>
    <w:rsid w:val="004364A5"/>
    <w:rsid w:val="004366E8"/>
    <w:rsid w:val="00436F47"/>
    <w:rsid w:val="00436F98"/>
    <w:rsid w:val="0043744A"/>
    <w:rsid w:val="004379DC"/>
    <w:rsid w:val="0044097D"/>
    <w:rsid w:val="00440AD2"/>
    <w:rsid w:val="004424F9"/>
    <w:rsid w:val="004428AC"/>
    <w:rsid w:val="004430AC"/>
    <w:rsid w:val="004438DB"/>
    <w:rsid w:val="0044430E"/>
    <w:rsid w:val="0044440B"/>
    <w:rsid w:val="00444743"/>
    <w:rsid w:val="0044502E"/>
    <w:rsid w:val="00445A50"/>
    <w:rsid w:val="00445E80"/>
    <w:rsid w:val="0044634B"/>
    <w:rsid w:val="004506F0"/>
    <w:rsid w:val="004509C5"/>
    <w:rsid w:val="00453FBD"/>
    <w:rsid w:val="00455D91"/>
    <w:rsid w:val="00455FB4"/>
    <w:rsid w:val="00461E93"/>
    <w:rsid w:val="00461F31"/>
    <w:rsid w:val="004628F2"/>
    <w:rsid w:val="00462DC5"/>
    <w:rsid w:val="00462FA5"/>
    <w:rsid w:val="00463F22"/>
    <w:rsid w:val="0046407C"/>
    <w:rsid w:val="004647B4"/>
    <w:rsid w:val="004652D7"/>
    <w:rsid w:val="00466AAD"/>
    <w:rsid w:val="00466C75"/>
    <w:rsid w:val="00466F5D"/>
    <w:rsid w:val="00467305"/>
    <w:rsid w:val="0047200A"/>
    <w:rsid w:val="00473547"/>
    <w:rsid w:val="00473742"/>
    <w:rsid w:val="00473981"/>
    <w:rsid w:val="00473AFF"/>
    <w:rsid w:val="00473B6A"/>
    <w:rsid w:val="00474896"/>
    <w:rsid w:val="00474E26"/>
    <w:rsid w:val="00476CF3"/>
    <w:rsid w:val="00477808"/>
    <w:rsid w:val="00477B93"/>
    <w:rsid w:val="004807B3"/>
    <w:rsid w:val="00480D2B"/>
    <w:rsid w:val="00481BD0"/>
    <w:rsid w:val="00482EF8"/>
    <w:rsid w:val="00483B57"/>
    <w:rsid w:val="004848D9"/>
    <w:rsid w:val="00485DB5"/>
    <w:rsid w:val="00485F04"/>
    <w:rsid w:val="00485F92"/>
    <w:rsid w:val="004862CB"/>
    <w:rsid w:val="004871F5"/>
    <w:rsid w:val="0049003D"/>
    <w:rsid w:val="0049031C"/>
    <w:rsid w:val="004909B1"/>
    <w:rsid w:val="0049100F"/>
    <w:rsid w:val="00492104"/>
    <w:rsid w:val="004935F9"/>
    <w:rsid w:val="00493EBB"/>
    <w:rsid w:val="00494828"/>
    <w:rsid w:val="00494C58"/>
    <w:rsid w:val="00495F3F"/>
    <w:rsid w:val="004970F1"/>
    <w:rsid w:val="00497A31"/>
    <w:rsid w:val="004A079D"/>
    <w:rsid w:val="004A0FE8"/>
    <w:rsid w:val="004A206A"/>
    <w:rsid w:val="004A4844"/>
    <w:rsid w:val="004A4924"/>
    <w:rsid w:val="004A5682"/>
    <w:rsid w:val="004A58EB"/>
    <w:rsid w:val="004A767D"/>
    <w:rsid w:val="004B0580"/>
    <w:rsid w:val="004B3399"/>
    <w:rsid w:val="004B357E"/>
    <w:rsid w:val="004B4FB8"/>
    <w:rsid w:val="004B5B93"/>
    <w:rsid w:val="004B6B1E"/>
    <w:rsid w:val="004B739B"/>
    <w:rsid w:val="004B73B0"/>
    <w:rsid w:val="004C001B"/>
    <w:rsid w:val="004C17F2"/>
    <w:rsid w:val="004C1985"/>
    <w:rsid w:val="004C2683"/>
    <w:rsid w:val="004C2B58"/>
    <w:rsid w:val="004C2C2E"/>
    <w:rsid w:val="004C4296"/>
    <w:rsid w:val="004C5743"/>
    <w:rsid w:val="004C5F0A"/>
    <w:rsid w:val="004C6A3A"/>
    <w:rsid w:val="004C752D"/>
    <w:rsid w:val="004C7918"/>
    <w:rsid w:val="004C7F0D"/>
    <w:rsid w:val="004D018D"/>
    <w:rsid w:val="004D06E0"/>
    <w:rsid w:val="004D24A8"/>
    <w:rsid w:val="004D3027"/>
    <w:rsid w:val="004D31ED"/>
    <w:rsid w:val="004D322D"/>
    <w:rsid w:val="004D39FE"/>
    <w:rsid w:val="004D5F39"/>
    <w:rsid w:val="004D6281"/>
    <w:rsid w:val="004D6C34"/>
    <w:rsid w:val="004D7EAF"/>
    <w:rsid w:val="004E10AD"/>
    <w:rsid w:val="004E17E2"/>
    <w:rsid w:val="004E23E4"/>
    <w:rsid w:val="004E32A8"/>
    <w:rsid w:val="004E3A73"/>
    <w:rsid w:val="004E7EC4"/>
    <w:rsid w:val="004F00C1"/>
    <w:rsid w:val="004F122E"/>
    <w:rsid w:val="004F1AEE"/>
    <w:rsid w:val="004F250E"/>
    <w:rsid w:val="004F32AF"/>
    <w:rsid w:val="004F336D"/>
    <w:rsid w:val="004F3ABC"/>
    <w:rsid w:val="004F47E6"/>
    <w:rsid w:val="004F5C7E"/>
    <w:rsid w:val="004F6D9D"/>
    <w:rsid w:val="004F78FB"/>
    <w:rsid w:val="00502AA6"/>
    <w:rsid w:val="00503786"/>
    <w:rsid w:val="005049E7"/>
    <w:rsid w:val="005059A6"/>
    <w:rsid w:val="00505A2F"/>
    <w:rsid w:val="00505FED"/>
    <w:rsid w:val="00506BBA"/>
    <w:rsid w:val="00507235"/>
    <w:rsid w:val="0050754B"/>
    <w:rsid w:val="00507B28"/>
    <w:rsid w:val="00507B2D"/>
    <w:rsid w:val="00507BBF"/>
    <w:rsid w:val="005100B8"/>
    <w:rsid w:val="005105DE"/>
    <w:rsid w:val="00511C9C"/>
    <w:rsid w:val="005132BE"/>
    <w:rsid w:val="00514042"/>
    <w:rsid w:val="00514DC2"/>
    <w:rsid w:val="00516D0E"/>
    <w:rsid w:val="00516F5B"/>
    <w:rsid w:val="0051737A"/>
    <w:rsid w:val="005179A9"/>
    <w:rsid w:val="005208E6"/>
    <w:rsid w:val="00520E66"/>
    <w:rsid w:val="005211A0"/>
    <w:rsid w:val="00523D50"/>
    <w:rsid w:val="00523ECD"/>
    <w:rsid w:val="005255A3"/>
    <w:rsid w:val="00526F77"/>
    <w:rsid w:val="0053128E"/>
    <w:rsid w:val="005317A3"/>
    <w:rsid w:val="00531C14"/>
    <w:rsid w:val="00532A61"/>
    <w:rsid w:val="005340DA"/>
    <w:rsid w:val="00534F58"/>
    <w:rsid w:val="005351DC"/>
    <w:rsid w:val="005369D8"/>
    <w:rsid w:val="0053723F"/>
    <w:rsid w:val="0053793D"/>
    <w:rsid w:val="00541DD1"/>
    <w:rsid w:val="00542B2A"/>
    <w:rsid w:val="00543E86"/>
    <w:rsid w:val="005445CA"/>
    <w:rsid w:val="00544835"/>
    <w:rsid w:val="00544860"/>
    <w:rsid w:val="00545A33"/>
    <w:rsid w:val="00545B5B"/>
    <w:rsid w:val="00545CCD"/>
    <w:rsid w:val="00546467"/>
    <w:rsid w:val="00546ABC"/>
    <w:rsid w:val="00546CC8"/>
    <w:rsid w:val="0054701E"/>
    <w:rsid w:val="00552D08"/>
    <w:rsid w:val="00552E99"/>
    <w:rsid w:val="00552EF2"/>
    <w:rsid w:val="0055356A"/>
    <w:rsid w:val="00553BA9"/>
    <w:rsid w:val="00554F5B"/>
    <w:rsid w:val="005556D0"/>
    <w:rsid w:val="00555AEA"/>
    <w:rsid w:val="00555F8B"/>
    <w:rsid w:val="00556B29"/>
    <w:rsid w:val="00556BC3"/>
    <w:rsid w:val="00557021"/>
    <w:rsid w:val="00560A53"/>
    <w:rsid w:val="00560CB2"/>
    <w:rsid w:val="00563B2A"/>
    <w:rsid w:val="00563BD3"/>
    <w:rsid w:val="00563BE4"/>
    <w:rsid w:val="00563DCE"/>
    <w:rsid w:val="00563E3A"/>
    <w:rsid w:val="0056488A"/>
    <w:rsid w:val="005649A9"/>
    <w:rsid w:val="00564DE6"/>
    <w:rsid w:val="00565A7B"/>
    <w:rsid w:val="00565D0D"/>
    <w:rsid w:val="0056781D"/>
    <w:rsid w:val="00567E17"/>
    <w:rsid w:val="00572877"/>
    <w:rsid w:val="00572C5D"/>
    <w:rsid w:val="0057387C"/>
    <w:rsid w:val="005744D8"/>
    <w:rsid w:val="00576E55"/>
    <w:rsid w:val="005777A7"/>
    <w:rsid w:val="005778EB"/>
    <w:rsid w:val="00577B3B"/>
    <w:rsid w:val="005804D9"/>
    <w:rsid w:val="005826DE"/>
    <w:rsid w:val="0058591A"/>
    <w:rsid w:val="00585B94"/>
    <w:rsid w:val="0059089A"/>
    <w:rsid w:val="00591C13"/>
    <w:rsid w:val="00592D3E"/>
    <w:rsid w:val="00593433"/>
    <w:rsid w:val="0059355F"/>
    <w:rsid w:val="005936A3"/>
    <w:rsid w:val="00593877"/>
    <w:rsid w:val="00593AC3"/>
    <w:rsid w:val="00594AA5"/>
    <w:rsid w:val="00594C69"/>
    <w:rsid w:val="00594D38"/>
    <w:rsid w:val="005954C3"/>
    <w:rsid w:val="005959D3"/>
    <w:rsid w:val="00595D5C"/>
    <w:rsid w:val="00595E34"/>
    <w:rsid w:val="00596382"/>
    <w:rsid w:val="00597576"/>
    <w:rsid w:val="00597BB5"/>
    <w:rsid w:val="005A2344"/>
    <w:rsid w:val="005A2F51"/>
    <w:rsid w:val="005A3224"/>
    <w:rsid w:val="005A3628"/>
    <w:rsid w:val="005A3668"/>
    <w:rsid w:val="005A3D95"/>
    <w:rsid w:val="005A402C"/>
    <w:rsid w:val="005A4CD1"/>
    <w:rsid w:val="005A530E"/>
    <w:rsid w:val="005A6DEB"/>
    <w:rsid w:val="005A6E07"/>
    <w:rsid w:val="005A71C9"/>
    <w:rsid w:val="005A781F"/>
    <w:rsid w:val="005A7943"/>
    <w:rsid w:val="005B11EE"/>
    <w:rsid w:val="005B1DEE"/>
    <w:rsid w:val="005B2FAB"/>
    <w:rsid w:val="005B32AD"/>
    <w:rsid w:val="005B3B11"/>
    <w:rsid w:val="005B3DB0"/>
    <w:rsid w:val="005B496D"/>
    <w:rsid w:val="005B5409"/>
    <w:rsid w:val="005B6190"/>
    <w:rsid w:val="005B6E32"/>
    <w:rsid w:val="005C04E8"/>
    <w:rsid w:val="005C1A43"/>
    <w:rsid w:val="005C45E2"/>
    <w:rsid w:val="005C642C"/>
    <w:rsid w:val="005C74CC"/>
    <w:rsid w:val="005D26BF"/>
    <w:rsid w:val="005D3E1F"/>
    <w:rsid w:val="005D545C"/>
    <w:rsid w:val="005D6246"/>
    <w:rsid w:val="005D66C6"/>
    <w:rsid w:val="005D7021"/>
    <w:rsid w:val="005D70BB"/>
    <w:rsid w:val="005D7475"/>
    <w:rsid w:val="005D7A89"/>
    <w:rsid w:val="005E04AA"/>
    <w:rsid w:val="005E1006"/>
    <w:rsid w:val="005E1B99"/>
    <w:rsid w:val="005E1CC4"/>
    <w:rsid w:val="005E2400"/>
    <w:rsid w:val="005E259A"/>
    <w:rsid w:val="005E304D"/>
    <w:rsid w:val="005E3E2F"/>
    <w:rsid w:val="005E435F"/>
    <w:rsid w:val="005E4EC3"/>
    <w:rsid w:val="005E7AB6"/>
    <w:rsid w:val="005F2EFD"/>
    <w:rsid w:val="005F40B6"/>
    <w:rsid w:val="005F6B96"/>
    <w:rsid w:val="005F6E9B"/>
    <w:rsid w:val="006004A5"/>
    <w:rsid w:val="00600D36"/>
    <w:rsid w:val="00601F45"/>
    <w:rsid w:val="006026F9"/>
    <w:rsid w:val="00602DBE"/>
    <w:rsid w:val="00602F09"/>
    <w:rsid w:val="00603F11"/>
    <w:rsid w:val="00605115"/>
    <w:rsid w:val="00605614"/>
    <w:rsid w:val="0060741F"/>
    <w:rsid w:val="00607679"/>
    <w:rsid w:val="00607CF9"/>
    <w:rsid w:val="006112C9"/>
    <w:rsid w:val="0061210B"/>
    <w:rsid w:val="00612DB7"/>
    <w:rsid w:val="00614044"/>
    <w:rsid w:val="006149D3"/>
    <w:rsid w:val="00615D4E"/>
    <w:rsid w:val="00616D0F"/>
    <w:rsid w:val="00617BF0"/>
    <w:rsid w:val="006207E2"/>
    <w:rsid w:val="00620FF6"/>
    <w:rsid w:val="00621D50"/>
    <w:rsid w:val="0062229D"/>
    <w:rsid w:val="00623F06"/>
    <w:rsid w:val="0062444F"/>
    <w:rsid w:val="0062485D"/>
    <w:rsid w:val="00624F86"/>
    <w:rsid w:val="006255BB"/>
    <w:rsid w:val="006261D5"/>
    <w:rsid w:val="00626453"/>
    <w:rsid w:val="006265DA"/>
    <w:rsid w:val="00626F5F"/>
    <w:rsid w:val="0063065B"/>
    <w:rsid w:val="006308F7"/>
    <w:rsid w:val="0063114B"/>
    <w:rsid w:val="00632072"/>
    <w:rsid w:val="00635046"/>
    <w:rsid w:val="0063522A"/>
    <w:rsid w:val="006367BB"/>
    <w:rsid w:val="00636A63"/>
    <w:rsid w:val="00636B25"/>
    <w:rsid w:val="00637439"/>
    <w:rsid w:val="006379D8"/>
    <w:rsid w:val="00640BD8"/>
    <w:rsid w:val="006415BD"/>
    <w:rsid w:val="00645F2B"/>
    <w:rsid w:val="006460AD"/>
    <w:rsid w:val="00650729"/>
    <w:rsid w:val="006520F2"/>
    <w:rsid w:val="0065490E"/>
    <w:rsid w:val="00654BCF"/>
    <w:rsid w:val="00655C63"/>
    <w:rsid w:val="0065644A"/>
    <w:rsid w:val="006567BB"/>
    <w:rsid w:val="0065737D"/>
    <w:rsid w:val="00661350"/>
    <w:rsid w:val="00661818"/>
    <w:rsid w:val="00663758"/>
    <w:rsid w:val="00663DBF"/>
    <w:rsid w:val="0066411C"/>
    <w:rsid w:val="0066557F"/>
    <w:rsid w:val="00665868"/>
    <w:rsid w:val="0067034C"/>
    <w:rsid w:val="00672238"/>
    <w:rsid w:val="006727C5"/>
    <w:rsid w:val="00672CBD"/>
    <w:rsid w:val="00672D13"/>
    <w:rsid w:val="0067400B"/>
    <w:rsid w:val="00674CD3"/>
    <w:rsid w:val="006758D4"/>
    <w:rsid w:val="0067591B"/>
    <w:rsid w:val="0067654F"/>
    <w:rsid w:val="00677597"/>
    <w:rsid w:val="00677FB6"/>
    <w:rsid w:val="0068092C"/>
    <w:rsid w:val="00680C45"/>
    <w:rsid w:val="00681928"/>
    <w:rsid w:val="00682905"/>
    <w:rsid w:val="00684AEE"/>
    <w:rsid w:val="00685B8E"/>
    <w:rsid w:val="0068744F"/>
    <w:rsid w:val="00690169"/>
    <w:rsid w:val="00690B8C"/>
    <w:rsid w:val="00690E83"/>
    <w:rsid w:val="00691313"/>
    <w:rsid w:val="00692189"/>
    <w:rsid w:val="00692468"/>
    <w:rsid w:val="0069319B"/>
    <w:rsid w:val="00694182"/>
    <w:rsid w:val="00694F7F"/>
    <w:rsid w:val="00696128"/>
    <w:rsid w:val="00697A36"/>
    <w:rsid w:val="00697E58"/>
    <w:rsid w:val="00697E98"/>
    <w:rsid w:val="006A00D4"/>
    <w:rsid w:val="006A0620"/>
    <w:rsid w:val="006A18E2"/>
    <w:rsid w:val="006A3697"/>
    <w:rsid w:val="006A36F2"/>
    <w:rsid w:val="006A3F0F"/>
    <w:rsid w:val="006A48E5"/>
    <w:rsid w:val="006A5C69"/>
    <w:rsid w:val="006A7488"/>
    <w:rsid w:val="006A755C"/>
    <w:rsid w:val="006B03F4"/>
    <w:rsid w:val="006B05BC"/>
    <w:rsid w:val="006B0910"/>
    <w:rsid w:val="006B0B57"/>
    <w:rsid w:val="006B1C21"/>
    <w:rsid w:val="006B33DE"/>
    <w:rsid w:val="006B3BAC"/>
    <w:rsid w:val="006B41FA"/>
    <w:rsid w:val="006B42AF"/>
    <w:rsid w:val="006B4C2B"/>
    <w:rsid w:val="006B4C98"/>
    <w:rsid w:val="006B6B8F"/>
    <w:rsid w:val="006B7E37"/>
    <w:rsid w:val="006C0950"/>
    <w:rsid w:val="006C0ABE"/>
    <w:rsid w:val="006C12B3"/>
    <w:rsid w:val="006C1ABE"/>
    <w:rsid w:val="006C1D46"/>
    <w:rsid w:val="006C3C1A"/>
    <w:rsid w:val="006C3EB2"/>
    <w:rsid w:val="006C4A5C"/>
    <w:rsid w:val="006C548B"/>
    <w:rsid w:val="006C61EB"/>
    <w:rsid w:val="006C6342"/>
    <w:rsid w:val="006C6705"/>
    <w:rsid w:val="006C6B59"/>
    <w:rsid w:val="006C7086"/>
    <w:rsid w:val="006D01B9"/>
    <w:rsid w:val="006D0550"/>
    <w:rsid w:val="006D0B2B"/>
    <w:rsid w:val="006D0FA5"/>
    <w:rsid w:val="006D1555"/>
    <w:rsid w:val="006D1878"/>
    <w:rsid w:val="006D1AAE"/>
    <w:rsid w:val="006D1F30"/>
    <w:rsid w:val="006D2403"/>
    <w:rsid w:val="006D4016"/>
    <w:rsid w:val="006D4792"/>
    <w:rsid w:val="006D56EE"/>
    <w:rsid w:val="006D5724"/>
    <w:rsid w:val="006D57DA"/>
    <w:rsid w:val="006D6B5A"/>
    <w:rsid w:val="006E03AA"/>
    <w:rsid w:val="006E1A98"/>
    <w:rsid w:val="006E2FB1"/>
    <w:rsid w:val="006E33B4"/>
    <w:rsid w:val="006E4DCE"/>
    <w:rsid w:val="006E4EEA"/>
    <w:rsid w:val="006E52A0"/>
    <w:rsid w:val="006E5DCA"/>
    <w:rsid w:val="006E64A0"/>
    <w:rsid w:val="006F1322"/>
    <w:rsid w:val="006F270C"/>
    <w:rsid w:val="006F2E2F"/>
    <w:rsid w:val="006F3338"/>
    <w:rsid w:val="006F5663"/>
    <w:rsid w:val="006F573B"/>
    <w:rsid w:val="006F6969"/>
    <w:rsid w:val="006F6981"/>
    <w:rsid w:val="006F6AD3"/>
    <w:rsid w:val="006F6F4B"/>
    <w:rsid w:val="006F6FAA"/>
    <w:rsid w:val="006F7A63"/>
    <w:rsid w:val="007000A2"/>
    <w:rsid w:val="0070039B"/>
    <w:rsid w:val="00701C95"/>
    <w:rsid w:val="00702267"/>
    <w:rsid w:val="0070262D"/>
    <w:rsid w:val="00702D90"/>
    <w:rsid w:val="007032CB"/>
    <w:rsid w:val="00703949"/>
    <w:rsid w:val="00703AD5"/>
    <w:rsid w:val="00704A73"/>
    <w:rsid w:val="007058AB"/>
    <w:rsid w:val="00705C78"/>
    <w:rsid w:val="00705CC2"/>
    <w:rsid w:val="0070645B"/>
    <w:rsid w:val="007066FA"/>
    <w:rsid w:val="00707238"/>
    <w:rsid w:val="00711075"/>
    <w:rsid w:val="0071257A"/>
    <w:rsid w:val="007125A9"/>
    <w:rsid w:val="00712C7E"/>
    <w:rsid w:val="00713406"/>
    <w:rsid w:val="007135A0"/>
    <w:rsid w:val="00713F77"/>
    <w:rsid w:val="007140C6"/>
    <w:rsid w:val="00714420"/>
    <w:rsid w:val="00716043"/>
    <w:rsid w:val="007213CD"/>
    <w:rsid w:val="007215AA"/>
    <w:rsid w:val="00721790"/>
    <w:rsid w:val="00722A14"/>
    <w:rsid w:val="00722DDD"/>
    <w:rsid w:val="0072479E"/>
    <w:rsid w:val="007255FF"/>
    <w:rsid w:val="00726637"/>
    <w:rsid w:val="00726A01"/>
    <w:rsid w:val="00727717"/>
    <w:rsid w:val="00730594"/>
    <w:rsid w:val="00732398"/>
    <w:rsid w:val="007334AF"/>
    <w:rsid w:val="00733C29"/>
    <w:rsid w:val="00736F22"/>
    <w:rsid w:val="00737656"/>
    <w:rsid w:val="00737845"/>
    <w:rsid w:val="00737C73"/>
    <w:rsid w:val="00740F13"/>
    <w:rsid w:val="007414EB"/>
    <w:rsid w:val="00741610"/>
    <w:rsid w:val="00742B05"/>
    <w:rsid w:val="00743D1D"/>
    <w:rsid w:val="00745159"/>
    <w:rsid w:val="00745791"/>
    <w:rsid w:val="00745EAF"/>
    <w:rsid w:val="00746547"/>
    <w:rsid w:val="00751915"/>
    <w:rsid w:val="00751B43"/>
    <w:rsid w:val="00752B2F"/>
    <w:rsid w:val="007533F2"/>
    <w:rsid w:val="00756DBD"/>
    <w:rsid w:val="007572DC"/>
    <w:rsid w:val="0075797F"/>
    <w:rsid w:val="00757FA1"/>
    <w:rsid w:val="00760696"/>
    <w:rsid w:val="00762B7D"/>
    <w:rsid w:val="007631BA"/>
    <w:rsid w:val="007641EE"/>
    <w:rsid w:val="007642E8"/>
    <w:rsid w:val="0076443F"/>
    <w:rsid w:val="00764B9D"/>
    <w:rsid w:val="00764D6F"/>
    <w:rsid w:val="00765F59"/>
    <w:rsid w:val="00767426"/>
    <w:rsid w:val="00767898"/>
    <w:rsid w:val="00770270"/>
    <w:rsid w:val="0077328F"/>
    <w:rsid w:val="00773FA8"/>
    <w:rsid w:val="00775683"/>
    <w:rsid w:val="00775AC2"/>
    <w:rsid w:val="00775EFB"/>
    <w:rsid w:val="00776D71"/>
    <w:rsid w:val="00777450"/>
    <w:rsid w:val="00777477"/>
    <w:rsid w:val="00777B2E"/>
    <w:rsid w:val="00780372"/>
    <w:rsid w:val="0078279F"/>
    <w:rsid w:val="007828A0"/>
    <w:rsid w:val="00782EEE"/>
    <w:rsid w:val="00783D86"/>
    <w:rsid w:val="007854EA"/>
    <w:rsid w:val="007854EE"/>
    <w:rsid w:val="00785A8B"/>
    <w:rsid w:val="00786A7F"/>
    <w:rsid w:val="00786FA5"/>
    <w:rsid w:val="007873BA"/>
    <w:rsid w:val="00787D21"/>
    <w:rsid w:val="00787DA9"/>
    <w:rsid w:val="00787E54"/>
    <w:rsid w:val="00790C75"/>
    <w:rsid w:val="007919E8"/>
    <w:rsid w:val="00791E95"/>
    <w:rsid w:val="00792E1A"/>
    <w:rsid w:val="00795815"/>
    <w:rsid w:val="00796969"/>
    <w:rsid w:val="00797A2A"/>
    <w:rsid w:val="00797B50"/>
    <w:rsid w:val="00797C36"/>
    <w:rsid w:val="007A0DBC"/>
    <w:rsid w:val="007A13AD"/>
    <w:rsid w:val="007A3216"/>
    <w:rsid w:val="007A41D7"/>
    <w:rsid w:val="007A4473"/>
    <w:rsid w:val="007A4494"/>
    <w:rsid w:val="007A63DA"/>
    <w:rsid w:val="007A6865"/>
    <w:rsid w:val="007A7938"/>
    <w:rsid w:val="007B0006"/>
    <w:rsid w:val="007B12FD"/>
    <w:rsid w:val="007B18CA"/>
    <w:rsid w:val="007B1A27"/>
    <w:rsid w:val="007B2995"/>
    <w:rsid w:val="007B2DD9"/>
    <w:rsid w:val="007B3955"/>
    <w:rsid w:val="007B3D91"/>
    <w:rsid w:val="007B3DDD"/>
    <w:rsid w:val="007B447C"/>
    <w:rsid w:val="007B5335"/>
    <w:rsid w:val="007B553E"/>
    <w:rsid w:val="007B569D"/>
    <w:rsid w:val="007B6891"/>
    <w:rsid w:val="007B6D6D"/>
    <w:rsid w:val="007B7D9C"/>
    <w:rsid w:val="007B7DF3"/>
    <w:rsid w:val="007C09D9"/>
    <w:rsid w:val="007C09EC"/>
    <w:rsid w:val="007C1C74"/>
    <w:rsid w:val="007C3BC4"/>
    <w:rsid w:val="007C401A"/>
    <w:rsid w:val="007C4425"/>
    <w:rsid w:val="007C47E1"/>
    <w:rsid w:val="007C5557"/>
    <w:rsid w:val="007C5BDE"/>
    <w:rsid w:val="007C64CC"/>
    <w:rsid w:val="007C79D3"/>
    <w:rsid w:val="007D09CF"/>
    <w:rsid w:val="007D2F9B"/>
    <w:rsid w:val="007D3024"/>
    <w:rsid w:val="007D53F5"/>
    <w:rsid w:val="007D5CFE"/>
    <w:rsid w:val="007D5F5F"/>
    <w:rsid w:val="007D6781"/>
    <w:rsid w:val="007E05C0"/>
    <w:rsid w:val="007E1488"/>
    <w:rsid w:val="007E17A0"/>
    <w:rsid w:val="007E2089"/>
    <w:rsid w:val="007E2272"/>
    <w:rsid w:val="007E26C9"/>
    <w:rsid w:val="007E3973"/>
    <w:rsid w:val="007E5A12"/>
    <w:rsid w:val="007E5DC2"/>
    <w:rsid w:val="007E6096"/>
    <w:rsid w:val="007E6675"/>
    <w:rsid w:val="007E67E7"/>
    <w:rsid w:val="007E6AE6"/>
    <w:rsid w:val="007E7647"/>
    <w:rsid w:val="007E7E44"/>
    <w:rsid w:val="007F1402"/>
    <w:rsid w:val="007F1D60"/>
    <w:rsid w:val="007F1F14"/>
    <w:rsid w:val="007F3B53"/>
    <w:rsid w:val="007F3F53"/>
    <w:rsid w:val="007F4DA8"/>
    <w:rsid w:val="00800536"/>
    <w:rsid w:val="0080108E"/>
    <w:rsid w:val="00803864"/>
    <w:rsid w:val="00804CE1"/>
    <w:rsid w:val="008058C0"/>
    <w:rsid w:val="0080628A"/>
    <w:rsid w:val="00806837"/>
    <w:rsid w:val="00806D00"/>
    <w:rsid w:val="00806F0E"/>
    <w:rsid w:val="00807010"/>
    <w:rsid w:val="00811700"/>
    <w:rsid w:val="00813BD1"/>
    <w:rsid w:val="00813D2A"/>
    <w:rsid w:val="00814C52"/>
    <w:rsid w:val="0081559E"/>
    <w:rsid w:val="008164D9"/>
    <w:rsid w:val="00817051"/>
    <w:rsid w:val="00817715"/>
    <w:rsid w:val="00821890"/>
    <w:rsid w:val="00821E1D"/>
    <w:rsid w:val="0082215F"/>
    <w:rsid w:val="0082269C"/>
    <w:rsid w:val="00826649"/>
    <w:rsid w:val="00830BCF"/>
    <w:rsid w:val="00830E99"/>
    <w:rsid w:val="008317EB"/>
    <w:rsid w:val="008318DD"/>
    <w:rsid w:val="00831C59"/>
    <w:rsid w:val="00831CB9"/>
    <w:rsid w:val="00832A30"/>
    <w:rsid w:val="0083327F"/>
    <w:rsid w:val="0083372A"/>
    <w:rsid w:val="00834839"/>
    <w:rsid w:val="00834EFB"/>
    <w:rsid w:val="00835A1D"/>
    <w:rsid w:val="00836895"/>
    <w:rsid w:val="00840AD0"/>
    <w:rsid w:val="00840C00"/>
    <w:rsid w:val="008411E5"/>
    <w:rsid w:val="00843F70"/>
    <w:rsid w:val="00844471"/>
    <w:rsid w:val="0084492C"/>
    <w:rsid w:val="00845B14"/>
    <w:rsid w:val="008540C7"/>
    <w:rsid w:val="00856699"/>
    <w:rsid w:val="0085719E"/>
    <w:rsid w:val="0085797E"/>
    <w:rsid w:val="00860189"/>
    <w:rsid w:val="00862FEA"/>
    <w:rsid w:val="008634E7"/>
    <w:rsid w:val="008646B0"/>
    <w:rsid w:val="008647A3"/>
    <w:rsid w:val="00865771"/>
    <w:rsid w:val="00865C7D"/>
    <w:rsid w:val="00866000"/>
    <w:rsid w:val="00866CE8"/>
    <w:rsid w:val="00870972"/>
    <w:rsid w:val="00871B25"/>
    <w:rsid w:val="00872EC1"/>
    <w:rsid w:val="008745F7"/>
    <w:rsid w:val="0087620E"/>
    <w:rsid w:val="00876BA5"/>
    <w:rsid w:val="00880006"/>
    <w:rsid w:val="00880476"/>
    <w:rsid w:val="00880CA2"/>
    <w:rsid w:val="00880CEF"/>
    <w:rsid w:val="00881C52"/>
    <w:rsid w:val="00882D98"/>
    <w:rsid w:val="00882EFA"/>
    <w:rsid w:val="00883D08"/>
    <w:rsid w:val="0088433D"/>
    <w:rsid w:val="008857CE"/>
    <w:rsid w:val="008858AE"/>
    <w:rsid w:val="00885D4F"/>
    <w:rsid w:val="008863EB"/>
    <w:rsid w:val="008869CD"/>
    <w:rsid w:val="00886B40"/>
    <w:rsid w:val="00887D00"/>
    <w:rsid w:val="00891221"/>
    <w:rsid w:val="008915EF"/>
    <w:rsid w:val="0089183F"/>
    <w:rsid w:val="00892677"/>
    <w:rsid w:val="008927B8"/>
    <w:rsid w:val="00892D6C"/>
    <w:rsid w:val="00893235"/>
    <w:rsid w:val="00895B40"/>
    <w:rsid w:val="00895F6D"/>
    <w:rsid w:val="008968D4"/>
    <w:rsid w:val="00896F95"/>
    <w:rsid w:val="00897A2B"/>
    <w:rsid w:val="008A0CF4"/>
    <w:rsid w:val="008A2221"/>
    <w:rsid w:val="008A2455"/>
    <w:rsid w:val="008A4024"/>
    <w:rsid w:val="008A4E12"/>
    <w:rsid w:val="008A7708"/>
    <w:rsid w:val="008B0C9F"/>
    <w:rsid w:val="008B14A3"/>
    <w:rsid w:val="008B1B70"/>
    <w:rsid w:val="008B3676"/>
    <w:rsid w:val="008B510F"/>
    <w:rsid w:val="008B56F9"/>
    <w:rsid w:val="008B7D43"/>
    <w:rsid w:val="008C10BA"/>
    <w:rsid w:val="008C23DF"/>
    <w:rsid w:val="008C2DA1"/>
    <w:rsid w:val="008C3112"/>
    <w:rsid w:val="008C4EA3"/>
    <w:rsid w:val="008C5648"/>
    <w:rsid w:val="008C6557"/>
    <w:rsid w:val="008D1479"/>
    <w:rsid w:val="008D229D"/>
    <w:rsid w:val="008D31AA"/>
    <w:rsid w:val="008D5A55"/>
    <w:rsid w:val="008D6800"/>
    <w:rsid w:val="008D7CCC"/>
    <w:rsid w:val="008D7E29"/>
    <w:rsid w:val="008E075F"/>
    <w:rsid w:val="008E0866"/>
    <w:rsid w:val="008E1814"/>
    <w:rsid w:val="008E1E60"/>
    <w:rsid w:val="008E2271"/>
    <w:rsid w:val="008E24EC"/>
    <w:rsid w:val="008E3AE3"/>
    <w:rsid w:val="008E3B08"/>
    <w:rsid w:val="008E43A9"/>
    <w:rsid w:val="008E4767"/>
    <w:rsid w:val="008E4EB9"/>
    <w:rsid w:val="008E54B3"/>
    <w:rsid w:val="008E5AE8"/>
    <w:rsid w:val="008E62CB"/>
    <w:rsid w:val="008E7172"/>
    <w:rsid w:val="008E71B6"/>
    <w:rsid w:val="008F1AED"/>
    <w:rsid w:val="008F1AFB"/>
    <w:rsid w:val="008F2A3F"/>
    <w:rsid w:val="008F3130"/>
    <w:rsid w:val="008F3B7D"/>
    <w:rsid w:val="008F3B9A"/>
    <w:rsid w:val="008F3BE5"/>
    <w:rsid w:val="008F413D"/>
    <w:rsid w:val="008F6593"/>
    <w:rsid w:val="00900C73"/>
    <w:rsid w:val="00900D92"/>
    <w:rsid w:val="009019BF"/>
    <w:rsid w:val="00901A47"/>
    <w:rsid w:val="0090325C"/>
    <w:rsid w:val="0090351A"/>
    <w:rsid w:val="00904188"/>
    <w:rsid w:val="009044EA"/>
    <w:rsid w:val="00904B25"/>
    <w:rsid w:val="009062D7"/>
    <w:rsid w:val="00907D02"/>
    <w:rsid w:val="0091096E"/>
    <w:rsid w:val="00910F87"/>
    <w:rsid w:val="00911ED4"/>
    <w:rsid w:val="009122C7"/>
    <w:rsid w:val="00915772"/>
    <w:rsid w:val="00917181"/>
    <w:rsid w:val="00920882"/>
    <w:rsid w:val="00920940"/>
    <w:rsid w:val="00920A27"/>
    <w:rsid w:val="00920CEB"/>
    <w:rsid w:val="009230B0"/>
    <w:rsid w:val="009232C2"/>
    <w:rsid w:val="0092382F"/>
    <w:rsid w:val="009255BD"/>
    <w:rsid w:val="009259DC"/>
    <w:rsid w:val="00926DB9"/>
    <w:rsid w:val="0092780A"/>
    <w:rsid w:val="0093057E"/>
    <w:rsid w:val="009306EF"/>
    <w:rsid w:val="00930897"/>
    <w:rsid w:val="009319C8"/>
    <w:rsid w:val="00931AF3"/>
    <w:rsid w:val="009320D7"/>
    <w:rsid w:val="00932DD2"/>
    <w:rsid w:val="00934634"/>
    <w:rsid w:val="00935AF4"/>
    <w:rsid w:val="009367A5"/>
    <w:rsid w:val="00936C9E"/>
    <w:rsid w:val="00940597"/>
    <w:rsid w:val="00940D51"/>
    <w:rsid w:val="00941B7F"/>
    <w:rsid w:val="00941C20"/>
    <w:rsid w:val="009430AB"/>
    <w:rsid w:val="00943AF2"/>
    <w:rsid w:val="009449DF"/>
    <w:rsid w:val="00946061"/>
    <w:rsid w:val="00946342"/>
    <w:rsid w:val="0094692C"/>
    <w:rsid w:val="00946AAB"/>
    <w:rsid w:val="00947ECE"/>
    <w:rsid w:val="009516F7"/>
    <w:rsid w:val="009517D3"/>
    <w:rsid w:val="0095347C"/>
    <w:rsid w:val="00953D91"/>
    <w:rsid w:val="00955177"/>
    <w:rsid w:val="00956B1F"/>
    <w:rsid w:val="00956D24"/>
    <w:rsid w:val="00957056"/>
    <w:rsid w:val="0095741E"/>
    <w:rsid w:val="009606F6"/>
    <w:rsid w:val="00960CFC"/>
    <w:rsid w:val="009611A2"/>
    <w:rsid w:val="00961464"/>
    <w:rsid w:val="00961C69"/>
    <w:rsid w:val="00962A0C"/>
    <w:rsid w:val="00962B96"/>
    <w:rsid w:val="009639B4"/>
    <w:rsid w:val="00963F14"/>
    <w:rsid w:val="00963FB6"/>
    <w:rsid w:val="00963FF3"/>
    <w:rsid w:val="00964696"/>
    <w:rsid w:val="00964AC3"/>
    <w:rsid w:val="00966952"/>
    <w:rsid w:val="00966D75"/>
    <w:rsid w:val="0096775D"/>
    <w:rsid w:val="0097078E"/>
    <w:rsid w:val="00970C53"/>
    <w:rsid w:val="009713FF"/>
    <w:rsid w:val="009719E0"/>
    <w:rsid w:val="00971B21"/>
    <w:rsid w:val="00971D36"/>
    <w:rsid w:val="009720A5"/>
    <w:rsid w:val="00972498"/>
    <w:rsid w:val="0097293D"/>
    <w:rsid w:val="00973CA0"/>
    <w:rsid w:val="00973D5F"/>
    <w:rsid w:val="00974378"/>
    <w:rsid w:val="009751CD"/>
    <w:rsid w:val="00980023"/>
    <w:rsid w:val="00981C99"/>
    <w:rsid w:val="009823F0"/>
    <w:rsid w:val="00983BAF"/>
    <w:rsid w:val="00984127"/>
    <w:rsid w:val="009858FA"/>
    <w:rsid w:val="00987AC6"/>
    <w:rsid w:val="00990554"/>
    <w:rsid w:val="00990585"/>
    <w:rsid w:val="00991068"/>
    <w:rsid w:val="00991482"/>
    <w:rsid w:val="00992341"/>
    <w:rsid w:val="00992895"/>
    <w:rsid w:val="00994BB5"/>
    <w:rsid w:val="00994E72"/>
    <w:rsid w:val="00996C86"/>
    <w:rsid w:val="00997199"/>
    <w:rsid w:val="009A0511"/>
    <w:rsid w:val="009A0A4E"/>
    <w:rsid w:val="009A2660"/>
    <w:rsid w:val="009A34EF"/>
    <w:rsid w:val="009A5433"/>
    <w:rsid w:val="009A7BE7"/>
    <w:rsid w:val="009A7F8C"/>
    <w:rsid w:val="009B0510"/>
    <w:rsid w:val="009B0775"/>
    <w:rsid w:val="009B0BC4"/>
    <w:rsid w:val="009B12DE"/>
    <w:rsid w:val="009B13E8"/>
    <w:rsid w:val="009B30BA"/>
    <w:rsid w:val="009B3244"/>
    <w:rsid w:val="009B3CCD"/>
    <w:rsid w:val="009B45B1"/>
    <w:rsid w:val="009B5BE7"/>
    <w:rsid w:val="009B6092"/>
    <w:rsid w:val="009B770F"/>
    <w:rsid w:val="009C088F"/>
    <w:rsid w:val="009C155F"/>
    <w:rsid w:val="009C2476"/>
    <w:rsid w:val="009C55FC"/>
    <w:rsid w:val="009C5CE9"/>
    <w:rsid w:val="009C71CC"/>
    <w:rsid w:val="009D1135"/>
    <w:rsid w:val="009D1421"/>
    <w:rsid w:val="009D16E0"/>
    <w:rsid w:val="009D1E3B"/>
    <w:rsid w:val="009D2F50"/>
    <w:rsid w:val="009D42E9"/>
    <w:rsid w:val="009D5BE1"/>
    <w:rsid w:val="009D62E1"/>
    <w:rsid w:val="009D7AB4"/>
    <w:rsid w:val="009E0E15"/>
    <w:rsid w:val="009E1BF4"/>
    <w:rsid w:val="009E41C1"/>
    <w:rsid w:val="009E4FBF"/>
    <w:rsid w:val="009E5C75"/>
    <w:rsid w:val="009E67FF"/>
    <w:rsid w:val="009E7075"/>
    <w:rsid w:val="009E7269"/>
    <w:rsid w:val="009F052A"/>
    <w:rsid w:val="009F0AC5"/>
    <w:rsid w:val="009F0BC3"/>
    <w:rsid w:val="009F0CC4"/>
    <w:rsid w:val="009F1ACC"/>
    <w:rsid w:val="009F32BA"/>
    <w:rsid w:val="009F4AE4"/>
    <w:rsid w:val="009F4B3E"/>
    <w:rsid w:val="009F54B8"/>
    <w:rsid w:val="009F55F2"/>
    <w:rsid w:val="009F6244"/>
    <w:rsid w:val="009F6313"/>
    <w:rsid w:val="009F6796"/>
    <w:rsid w:val="009F7251"/>
    <w:rsid w:val="009F7331"/>
    <w:rsid w:val="00A00A2E"/>
    <w:rsid w:val="00A02B95"/>
    <w:rsid w:val="00A033B5"/>
    <w:rsid w:val="00A04848"/>
    <w:rsid w:val="00A05CA1"/>
    <w:rsid w:val="00A05CDE"/>
    <w:rsid w:val="00A069FF"/>
    <w:rsid w:val="00A07956"/>
    <w:rsid w:val="00A10041"/>
    <w:rsid w:val="00A10478"/>
    <w:rsid w:val="00A10797"/>
    <w:rsid w:val="00A12385"/>
    <w:rsid w:val="00A133CB"/>
    <w:rsid w:val="00A133F8"/>
    <w:rsid w:val="00A13494"/>
    <w:rsid w:val="00A13ACD"/>
    <w:rsid w:val="00A13C8E"/>
    <w:rsid w:val="00A140E4"/>
    <w:rsid w:val="00A145DE"/>
    <w:rsid w:val="00A16E14"/>
    <w:rsid w:val="00A16EDA"/>
    <w:rsid w:val="00A20622"/>
    <w:rsid w:val="00A2190B"/>
    <w:rsid w:val="00A228F2"/>
    <w:rsid w:val="00A22986"/>
    <w:rsid w:val="00A233F1"/>
    <w:rsid w:val="00A25047"/>
    <w:rsid w:val="00A25188"/>
    <w:rsid w:val="00A2541D"/>
    <w:rsid w:val="00A25FCF"/>
    <w:rsid w:val="00A27736"/>
    <w:rsid w:val="00A2789E"/>
    <w:rsid w:val="00A27A53"/>
    <w:rsid w:val="00A303C8"/>
    <w:rsid w:val="00A31CE0"/>
    <w:rsid w:val="00A33857"/>
    <w:rsid w:val="00A33D2F"/>
    <w:rsid w:val="00A34799"/>
    <w:rsid w:val="00A35BE9"/>
    <w:rsid w:val="00A37BBD"/>
    <w:rsid w:val="00A40F19"/>
    <w:rsid w:val="00A41109"/>
    <w:rsid w:val="00A41385"/>
    <w:rsid w:val="00A41B25"/>
    <w:rsid w:val="00A41B92"/>
    <w:rsid w:val="00A41BFA"/>
    <w:rsid w:val="00A43365"/>
    <w:rsid w:val="00A43748"/>
    <w:rsid w:val="00A43D47"/>
    <w:rsid w:val="00A4429A"/>
    <w:rsid w:val="00A45AB3"/>
    <w:rsid w:val="00A45D92"/>
    <w:rsid w:val="00A45FDB"/>
    <w:rsid w:val="00A477D8"/>
    <w:rsid w:val="00A50721"/>
    <w:rsid w:val="00A5160A"/>
    <w:rsid w:val="00A52359"/>
    <w:rsid w:val="00A52730"/>
    <w:rsid w:val="00A52C86"/>
    <w:rsid w:val="00A53541"/>
    <w:rsid w:val="00A54AE4"/>
    <w:rsid w:val="00A56786"/>
    <w:rsid w:val="00A56FD2"/>
    <w:rsid w:val="00A572CF"/>
    <w:rsid w:val="00A57AD5"/>
    <w:rsid w:val="00A608AB"/>
    <w:rsid w:val="00A635EB"/>
    <w:rsid w:val="00A63785"/>
    <w:rsid w:val="00A64AD8"/>
    <w:rsid w:val="00A6575F"/>
    <w:rsid w:val="00A6659D"/>
    <w:rsid w:val="00A672F9"/>
    <w:rsid w:val="00A67E53"/>
    <w:rsid w:val="00A708D4"/>
    <w:rsid w:val="00A70E67"/>
    <w:rsid w:val="00A71C78"/>
    <w:rsid w:val="00A71FC2"/>
    <w:rsid w:val="00A72189"/>
    <w:rsid w:val="00A72952"/>
    <w:rsid w:val="00A72C02"/>
    <w:rsid w:val="00A73378"/>
    <w:rsid w:val="00A735C8"/>
    <w:rsid w:val="00A73BD1"/>
    <w:rsid w:val="00A74614"/>
    <w:rsid w:val="00A74929"/>
    <w:rsid w:val="00A74EA8"/>
    <w:rsid w:val="00A752C5"/>
    <w:rsid w:val="00A768EA"/>
    <w:rsid w:val="00A77E98"/>
    <w:rsid w:val="00A80352"/>
    <w:rsid w:val="00A807FD"/>
    <w:rsid w:val="00A827F0"/>
    <w:rsid w:val="00A83998"/>
    <w:rsid w:val="00A8440D"/>
    <w:rsid w:val="00A851D5"/>
    <w:rsid w:val="00A85441"/>
    <w:rsid w:val="00A85667"/>
    <w:rsid w:val="00A8781F"/>
    <w:rsid w:val="00A912AE"/>
    <w:rsid w:val="00A9168C"/>
    <w:rsid w:val="00A9190B"/>
    <w:rsid w:val="00A91D39"/>
    <w:rsid w:val="00A94238"/>
    <w:rsid w:val="00A95198"/>
    <w:rsid w:val="00A953A0"/>
    <w:rsid w:val="00A96461"/>
    <w:rsid w:val="00A96DF3"/>
    <w:rsid w:val="00A97058"/>
    <w:rsid w:val="00AA14CF"/>
    <w:rsid w:val="00AA1779"/>
    <w:rsid w:val="00AA1D40"/>
    <w:rsid w:val="00AA2001"/>
    <w:rsid w:val="00AA24D6"/>
    <w:rsid w:val="00AA2953"/>
    <w:rsid w:val="00AA2FC4"/>
    <w:rsid w:val="00AA3036"/>
    <w:rsid w:val="00AA305B"/>
    <w:rsid w:val="00AA7D1E"/>
    <w:rsid w:val="00AB0921"/>
    <w:rsid w:val="00AB11AD"/>
    <w:rsid w:val="00AB33BE"/>
    <w:rsid w:val="00AB3831"/>
    <w:rsid w:val="00AB398F"/>
    <w:rsid w:val="00AB4925"/>
    <w:rsid w:val="00AB723D"/>
    <w:rsid w:val="00AB773E"/>
    <w:rsid w:val="00AB7821"/>
    <w:rsid w:val="00AC012D"/>
    <w:rsid w:val="00AC17BD"/>
    <w:rsid w:val="00AC1C67"/>
    <w:rsid w:val="00AC1FA4"/>
    <w:rsid w:val="00AC2D0E"/>
    <w:rsid w:val="00AC311A"/>
    <w:rsid w:val="00AC3855"/>
    <w:rsid w:val="00AC3C10"/>
    <w:rsid w:val="00AC432F"/>
    <w:rsid w:val="00AC47A2"/>
    <w:rsid w:val="00AC4AA7"/>
    <w:rsid w:val="00AC53F4"/>
    <w:rsid w:val="00AC65C4"/>
    <w:rsid w:val="00AD0AA5"/>
    <w:rsid w:val="00AD12B7"/>
    <w:rsid w:val="00AD1313"/>
    <w:rsid w:val="00AD23F2"/>
    <w:rsid w:val="00AD24D4"/>
    <w:rsid w:val="00AD2A08"/>
    <w:rsid w:val="00AD3639"/>
    <w:rsid w:val="00AD3828"/>
    <w:rsid w:val="00AD40DC"/>
    <w:rsid w:val="00AD4C89"/>
    <w:rsid w:val="00AD4CC0"/>
    <w:rsid w:val="00AD4E12"/>
    <w:rsid w:val="00AD5AAA"/>
    <w:rsid w:val="00AD6E23"/>
    <w:rsid w:val="00AD76F1"/>
    <w:rsid w:val="00AE064C"/>
    <w:rsid w:val="00AE327A"/>
    <w:rsid w:val="00AE5264"/>
    <w:rsid w:val="00AE580E"/>
    <w:rsid w:val="00AE5AAF"/>
    <w:rsid w:val="00AE5C97"/>
    <w:rsid w:val="00AE69C0"/>
    <w:rsid w:val="00AE7CF6"/>
    <w:rsid w:val="00AE7EE1"/>
    <w:rsid w:val="00AF0791"/>
    <w:rsid w:val="00AF11BF"/>
    <w:rsid w:val="00AF2E85"/>
    <w:rsid w:val="00AF347D"/>
    <w:rsid w:val="00AF6550"/>
    <w:rsid w:val="00AF76C2"/>
    <w:rsid w:val="00AF7819"/>
    <w:rsid w:val="00AF78FB"/>
    <w:rsid w:val="00B00A9A"/>
    <w:rsid w:val="00B00FE1"/>
    <w:rsid w:val="00B019D3"/>
    <w:rsid w:val="00B0202E"/>
    <w:rsid w:val="00B03419"/>
    <w:rsid w:val="00B03CC5"/>
    <w:rsid w:val="00B03E45"/>
    <w:rsid w:val="00B060BF"/>
    <w:rsid w:val="00B072AD"/>
    <w:rsid w:val="00B10EFD"/>
    <w:rsid w:val="00B112AF"/>
    <w:rsid w:val="00B11CB7"/>
    <w:rsid w:val="00B11CC7"/>
    <w:rsid w:val="00B12826"/>
    <w:rsid w:val="00B12C16"/>
    <w:rsid w:val="00B1602E"/>
    <w:rsid w:val="00B16E07"/>
    <w:rsid w:val="00B174DB"/>
    <w:rsid w:val="00B22E7E"/>
    <w:rsid w:val="00B236BA"/>
    <w:rsid w:val="00B24A58"/>
    <w:rsid w:val="00B256EB"/>
    <w:rsid w:val="00B256F6"/>
    <w:rsid w:val="00B25F36"/>
    <w:rsid w:val="00B26B83"/>
    <w:rsid w:val="00B26FB3"/>
    <w:rsid w:val="00B30471"/>
    <w:rsid w:val="00B3196B"/>
    <w:rsid w:val="00B32E77"/>
    <w:rsid w:val="00B33121"/>
    <w:rsid w:val="00B3365B"/>
    <w:rsid w:val="00B3400A"/>
    <w:rsid w:val="00B347DD"/>
    <w:rsid w:val="00B35EB4"/>
    <w:rsid w:val="00B365C9"/>
    <w:rsid w:val="00B37BC6"/>
    <w:rsid w:val="00B41007"/>
    <w:rsid w:val="00B42489"/>
    <w:rsid w:val="00B42887"/>
    <w:rsid w:val="00B43D7C"/>
    <w:rsid w:val="00B4407A"/>
    <w:rsid w:val="00B455D5"/>
    <w:rsid w:val="00B46003"/>
    <w:rsid w:val="00B4772B"/>
    <w:rsid w:val="00B478AB"/>
    <w:rsid w:val="00B50C4E"/>
    <w:rsid w:val="00B516CE"/>
    <w:rsid w:val="00B518C2"/>
    <w:rsid w:val="00B525A0"/>
    <w:rsid w:val="00B52D2C"/>
    <w:rsid w:val="00B52F53"/>
    <w:rsid w:val="00B547D6"/>
    <w:rsid w:val="00B55C6D"/>
    <w:rsid w:val="00B560AD"/>
    <w:rsid w:val="00B56D5F"/>
    <w:rsid w:val="00B57432"/>
    <w:rsid w:val="00B577E3"/>
    <w:rsid w:val="00B6049D"/>
    <w:rsid w:val="00B61007"/>
    <w:rsid w:val="00B621B0"/>
    <w:rsid w:val="00B6347B"/>
    <w:rsid w:val="00B64630"/>
    <w:rsid w:val="00B648B2"/>
    <w:rsid w:val="00B651D4"/>
    <w:rsid w:val="00B6543A"/>
    <w:rsid w:val="00B65AC9"/>
    <w:rsid w:val="00B66996"/>
    <w:rsid w:val="00B704E7"/>
    <w:rsid w:val="00B70710"/>
    <w:rsid w:val="00B7113E"/>
    <w:rsid w:val="00B72A03"/>
    <w:rsid w:val="00B73770"/>
    <w:rsid w:val="00B73956"/>
    <w:rsid w:val="00B758BB"/>
    <w:rsid w:val="00B759D8"/>
    <w:rsid w:val="00B77235"/>
    <w:rsid w:val="00B77EE9"/>
    <w:rsid w:val="00B804B8"/>
    <w:rsid w:val="00B8058F"/>
    <w:rsid w:val="00B805F3"/>
    <w:rsid w:val="00B8126C"/>
    <w:rsid w:val="00B82E75"/>
    <w:rsid w:val="00B82EE2"/>
    <w:rsid w:val="00B831DB"/>
    <w:rsid w:val="00B832EF"/>
    <w:rsid w:val="00B83829"/>
    <w:rsid w:val="00B86AC2"/>
    <w:rsid w:val="00B900AF"/>
    <w:rsid w:val="00B9163E"/>
    <w:rsid w:val="00B92625"/>
    <w:rsid w:val="00B92791"/>
    <w:rsid w:val="00B93923"/>
    <w:rsid w:val="00B93B3F"/>
    <w:rsid w:val="00B94FF0"/>
    <w:rsid w:val="00B959CF"/>
    <w:rsid w:val="00B95B3E"/>
    <w:rsid w:val="00B965B9"/>
    <w:rsid w:val="00B968B3"/>
    <w:rsid w:val="00B9718C"/>
    <w:rsid w:val="00B9771A"/>
    <w:rsid w:val="00B97930"/>
    <w:rsid w:val="00B97B5C"/>
    <w:rsid w:val="00BA1C33"/>
    <w:rsid w:val="00BA20D3"/>
    <w:rsid w:val="00BA2608"/>
    <w:rsid w:val="00BA5926"/>
    <w:rsid w:val="00BA61C6"/>
    <w:rsid w:val="00BA64F5"/>
    <w:rsid w:val="00BB212E"/>
    <w:rsid w:val="00BB2F0B"/>
    <w:rsid w:val="00BB3249"/>
    <w:rsid w:val="00BB3CD4"/>
    <w:rsid w:val="00BB60A0"/>
    <w:rsid w:val="00BB6374"/>
    <w:rsid w:val="00BB7C16"/>
    <w:rsid w:val="00BC007B"/>
    <w:rsid w:val="00BC08E5"/>
    <w:rsid w:val="00BC1797"/>
    <w:rsid w:val="00BC1F9C"/>
    <w:rsid w:val="00BC21BD"/>
    <w:rsid w:val="00BC297D"/>
    <w:rsid w:val="00BC3F6D"/>
    <w:rsid w:val="00BC428A"/>
    <w:rsid w:val="00BC4D3E"/>
    <w:rsid w:val="00BC5318"/>
    <w:rsid w:val="00BC5858"/>
    <w:rsid w:val="00BC6F41"/>
    <w:rsid w:val="00BC79A1"/>
    <w:rsid w:val="00BD003A"/>
    <w:rsid w:val="00BD0166"/>
    <w:rsid w:val="00BD048D"/>
    <w:rsid w:val="00BD1C26"/>
    <w:rsid w:val="00BD1DEB"/>
    <w:rsid w:val="00BD1E18"/>
    <w:rsid w:val="00BD240E"/>
    <w:rsid w:val="00BD3ED4"/>
    <w:rsid w:val="00BD65CD"/>
    <w:rsid w:val="00BE05B6"/>
    <w:rsid w:val="00BE12CB"/>
    <w:rsid w:val="00BE19CF"/>
    <w:rsid w:val="00BE2140"/>
    <w:rsid w:val="00BE3560"/>
    <w:rsid w:val="00BE39F3"/>
    <w:rsid w:val="00BE417A"/>
    <w:rsid w:val="00BE434F"/>
    <w:rsid w:val="00BE46C2"/>
    <w:rsid w:val="00BE7A8C"/>
    <w:rsid w:val="00BF1084"/>
    <w:rsid w:val="00BF2436"/>
    <w:rsid w:val="00BF252E"/>
    <w:rsid w:val="00BF2907"/>
    <w:rsid w:val="00BF2BA8"/>
    <w:rsid w:val="00BF5089"/>
    <w:rsid w:val="00BF52A2"/>
    <w:rsid w:val="00BF537E"/>
    <w:rsid w:val="00BF5C7B"/>
    <w:rsid w:val="00BF650A"/>
    <w:rsid w:val="00BF6E63"/>
    <w:rsid w:val="00C00A66"/>
    <w:rsid w:val="00C0158C"/>
    <w:rsid w:val="00C01B9C"/>
    <w:rsid w:val="00C02B70"/>
    <w:rsid w:val="00C0399E"/>
    <w:rsid w:val="00C044F4"/>
    <w:rsid w:val="00C053C5"/>
    <w:rsid w:val="00C0545D"/>
    <w:rsid w:val="00C07662"/>
    <w:rsid w:val="00C07D06"/>
    <w:rsid w:val="00C115B4"/>
    <w:rsid w:val="00C11B4B"/>
    <w:rsid w:val="00C11D1D"/>
    <w:rsid w:val="00C1230D"/>
    <w:rsid w:val="00C14E41"/>
    <w:rsid w:val="00C15573"/>
    <w:rsid w:val="00C163DB"/>
    <w:rsid w:val="00C16DAE"/>
    <w:rsid w:val="00C170CF"/>
    <w:rsid w:val="00C174FB"/>
    <w:rsid w:val="00C17D7D"/>
    <w:rsid w:val="00C20E31"/>
    <w:rsid w:val="00C22511"/>
    <w:rsid w:val="00C22FA0"/>
    <w:rsid w:val="00C24533"/>
    <w:rsid w:val="00C24760"/>
    <w:rsid w:val="00C262E6"/>
    <w:rsid w:val="00C27720"/>
    <w:rsid w:val="00C27D60"/>
    <w:rsid w:val="00C27E57"/>
    <w:rsid w:val="00C3010C"/>
    <w:rsid w:val="00C3027B"/>
    <w:rsid w:val="00C314F3"/>
    <w:rsid w:val="00C31658"/>
    <w:rsid w:val="00C31AC8"/>
    <w:rsid w:val="00C32670"/>
    <w:rsid w:val="00C32B11"/>
    <w:rsid w:val="00C330E4"/>
    <w:rsid w:val="00C333FD"/>
    <w:rsid w:val="00C34D2E"/>
    <w:rsid w:val="00C34D33"/>
    <w:rsid w:val="00C356C4"/>
    <w:rsid w:val="00C356CF"/>
    <w:rsid w:val="00C364B4"/>
    <w:rsid w:val="00C36C88"/>
    <w:rsid w:val="00C40809"/>
    <w:rsid w:val="00C4090A"/>
    <w:rsid w:val="00C413E6"/>
    <w:rsid w:val="00C415B1"/>
    <w:rsid w:val="00C41E89"/>
    <w:rsid w:val="00C42184"/>
    <w:rsid w:val="00C425D7"/>
    <w:rsid w:val="00C42F85"/>
    <w:rsid w:val="00C44254"/>
    <w:rsid w:val="00C448B7"/>
    <w:rsid w:val="00C44A86"/>
    <w:rsid w:val="00C463A0"/>
    <w:rsid w:val="00C50B8B"/>
    <w:rsid w:val="00C516F4"/>
    <w:rsid w:val="00C51FF2"/>
    <w:rsid w:val="00C520A2"/>
    <w:rsid w:val="00C52FB1"/>
    <w:rsid w:val="00C53BD1"/>
    <w:rsid w:val="00C5533B"/>
    <w:rsid w:val="00C55BCC"/>
    <w:rsid w:val="00C561A5"/>
    <w:rsid w:val="00C56BE1"/>
    <w:rsid w:val="00C57436"/>
    <w:rsid w:val="00C57CE3"/>
    <w:rsid w:val="00C57F80"/>
    <w:rsid w:val="00C60F43"/>
    <w:rsid w:val="00C62B86"/>
    <w:rsid w:val="00C63ADC"/>
    <w:rsid w:val="00C64D09"/>
    <w:rsid w:val="00C6521D"/>
    <w:rsid w:val="00C667C5"/>
    <w:rsid w:val="00C66AAE"/>
    <w:rsid w:val="00C674E7"/>
    <w:rsid w:val="00C67C5F"/>
    <w:rsid w:val="00C67F67"/>
    <w:rsid w:val="00C67FD1"/>
    <w:rsid w:val="00C70270"/>
    <w:rsid w:val="00C70543"/>
    <w:rsid w:val="00C71816"/>
    <w:rsid w:val="00C7193E"/>
    <w:rsid w:val="00C722EA"/>
    <w:rsid w:val="00C730E1"/>
    <w:rsid w:val="00C7328E"/>
    <w:rsid w:val="00C76962"/>
    <w:rsid w:val="00C7762B"/>
    <w:rsid w:val="00C77FE1"/>
    <w:rsid w:val="00C80B4B"/>
    <w:rsid w:val="00C80BF0"/>
    <w:rsid w:val="00C8112D"/>
    <w:rsid w:val="00C813C5"/>
    <w:rsid w:val="00C829D3"/>
    <w:rsid w:val="00C836A8"/>
    <w:rsid w:val="00C84068"/>
    <w:rsid w:val="00C84859"/>
    <w:rsid w:val="00C84AA9"/>
    <w:rsid w:val="00C84F56"/>
    <w:rsid w:val="00C86063"/>
    <w:rsid w:val="00C8611B"/>
    <w:rsid w:val="00C86D8F"/>
    <w:rsid w:val="00C86F43"/>
    <w:rsid w:val="00C90E3F"/>
    <w:rsid w:val="00C915FB"/>
    <w:rsid w:val="00C91E5A"/>
    <w:rsid w:val="00C928EC"/>
    <w:rsid w:val="00C92CA2"/>
    <w:rsid w:val="00C94C27"/>
    <w:rsid w:val="00C95525"/>
    <w:rsid w:val="00CA2522"/>
    <w:rsid w:val="00CA3DFD"/>
    <w:rsid w:val="00CA5119"/>
    <w:rsid w:val="00CA57D7"/>
    <w:rsid w:val="00CA68E2"/>
    <w:rsid w:val="00CB0562"/>
    <w:rsid w:val="00CB0C66"/>
    <w:rsid w:val="00CB0E42"/>
    <w:rsid w:val="00CB18AD"/>
    <w:rsid w:val="00CB1A38"/>
    <w:rsid w:val="00CB36EA"/>
    <w:rsid w:val="00CB3740"/>
    <w:rsid w:val="00CB5139"/>
    <w:rsid w:val="00CB6083"/>
    <w:rsid w:val="00CB6347"/>
    <w:rsid w:val="00CB7C31"/>
    <w:rsid w:val="00CC06AE"/>
    <w:rsid w:val="00CC1744"/>
    <w:rsid w:val="00CC1F84"/>
    <w:rsid w:val="00CC206A"/>
    <w:rsid w:val="00CC2F15"/>
    <w:rsid w:val="00CC6385"/>
    <w:rsid w:val="00CC7A09"/>
    <w:rsid w:val="00CD0182"/>
    <w:rsid w:val="00CD0542"/>
    <w:rsid w:val="00CD1120"/>
    <w:rsid w:val="00CD17DB"/>
    <w:rsid w:val="00CD1BB0"/>
    <w:rsid w:val="00CD27BF"/>
    <w:rsid w:val="00CD297D"/>
    <w:rsid w:val="00CD2D79"/>
    <w:rsid w:val="00CD3B99"/>
    <w:rsid w:val="00CD3C79"/>
    <w:rsid w:val="00CD3EE0"/>
    <w:rsid w:val="00CD3FB1"/>
    <w:rsid w:val="00CD5D07"/>
    <w:rsid w:val="00CD6C9F"/>
    <w:rsid w:val="00CD6F18"/>
    <w:rsid w:val="00CD7A08"/>
    <w:rsid w:val="00CE0A1E"/>
    <w:rsid w:val="00CE0B29"/>
    <w:rsid w:val="00CE0B3D"/>
    <w:rsid w:val="00CE11F9"/>
    <w:rsid w:val="00CE22A4"/>
    <w:rsid w:val="00CE23C5"/>
    <w:rsid w:val="00CE2F18"/>
    <w:rsid w:val="00CE2FEF"/>
    <w:rsid w:val="00CE43C2"/>
    <w:rsid w:val="00CE4470"/>
    <w:rsid w:val="00CE67AA"/>
    <w:rsid w:val="00CE69EA"/>
    <w:rsid w:val="00CE6BC0"/>
    <w:rsid w:val="00CE6C8D"/>
    <w:rsid w:val="00CE6DC2"/>
    <w:rsid w:val="00CE70C6"/>
    <w:rsid w:val="00CE7151"/>
    <w:rsid w:val="00CE7C0F"/>
    <w:rsid w:val="00CF18A4"/>
    <w:rsid w:val="00CF1CBD"/>
    <w:rsid w:val="00CF32F0"/>
    <w:rsid w:val="00CF3AC3"/>
    <w:rsid w:val="00CF3D8B"/>
    <w:rsid w:val="00CF40FE"/>
    <w:rsid w:val="00CF4231"/>
    <w:rsid w:val="00CF5A21"/>
    <w:rsid w:val="00CF6846"/>
    <w:rsid w:val="00CF6A7E"/>
    <w:rsid w:val="00CF7DFA"/>
    <w:rsid w:val="00D00041"/>
    <w:rsid w:val="00D0023A"/>
    <w:rsid w:val="00D0132C"/>
    <w:rsid w:val="00D0213C"/>
    <w:rsid w:val="00D02F55"/>
    <w:rsid w:val="00D044E1"/>
    <w:rsid w:val="00D054D7"/>
    <w:rsid w:val="00D06225"/>
    <w:rsid w:val="00D07137"/>
    <w:rsid w:val="00D0729A"/>
    <w:rsid w:val="00D0765C"/>
    <w:rsid w:val="00D07987"/>
    <w:rsid w:val="00D10A7B"/>
    <w:rsid w:val="00D1141E"/>
    <w:rsid w:val="00D114DE"/>
    <w:rsid w:val="00D119CD"/>
    <w:rsid w:val="00D1205A"/>
    <w:rsid w:val="00D12A65"/>
    <w:rsid w:val="00D13996"/>
    <w:rsid w:val="00D1421B"/>
    <w:rsid w:val="00D14C96"/>
    <w:rsid w:val="00D17550"/>
    <w:rsid w:val="00D17B91"/>
    <w:rsid w:val="00D209FF"/>
    <w:rsid w:val="00D21BA5"/>
    <w:rsid w:val="00D24198"/>
    <w:rsid w:val="00D2538D"/>
    <w:rsid w:val="00D256C8"/>
    <w:rsid w:val="00D27800"/>
    <w:rsid w:val="00D30036"/>
    <w:rsid w:val="00D30928"/>
    <w:rsid w:val="00D32775"/>
    <w:rsid w:val="00D34929"/>
    <w:rsid w:val="00D36D5E"/>
    <w:rsid w:val="00D3765B"/>
    <w:rsid w:val="00D40225"/>
    <w:rsid w:val="00D40626"/>
    <w:rsid w:val="00D41DC5"/>
    <w:rsid w:val="00D4226D"/>
    <w:rsid w:val="00D422B3"/>
    <w:rsid w:val="00D42DD1"/>
    <w:rsid w:val="00D43581"/>
    <w:rsid w:val="00D4584B"/>
    <w:rsid w:val="00D46E4A"/>
    <w:rsid w:val="00D47FED"/>
    <w:rsid w:val="00D517BC"/>
    <w:rsid w:val="00D53039"/>
    <w:rsid w:val="00D53335"/>
    <w:rsid w:val="00D539A7"/>
    <w:rsid w:val="00D539AF"/>
    <w:rsid w:val="00D562CC"/>
    <w:rsid w:val="00D568AE"/>
    <w:rsid w:val="00D56F1E"/>
    <w:rsid w:val="00D60044"/>
    <w:rsid w:val="00D609E3"/>
    <w:rsid w:val="00D60E5A"/>
    <w:rsid w:val="00D61273"/>
    <w:rsid w:val="00D61418"/>
    <w:rsid w:val="00D6198A"/>
    <w:rsid w:val="00D623A7"/>
    <w:rsid w:val="00D628FF"/>
    <w:rsid w:val="00D62D0B"/>
    <w:rsid w:val="00D62E4F"/>
    <w:rsid w:val="00D630DC"/>
    <w:rsid w:val="00D63BA4"/>
    <w:rsid w:val="00D6425E"/>
    <w:rsid w:val="00D64419"/>
    <w:rsid w:val="00D67399"/>
    <w:rsid w:val="00D67926"/>
    <w:rsid w:val="00D72B05"/>
    <w:rsid w:val="00D72C64"/>
    <w:rsid w:val="00D72DEC"/>
    <w:rsid w:val="00D73D5B"/>
    <w:rsid w:val="00D74E07"/>
    <w:rsid w:val="00D75528"/>
    <w:rsid w:val="00D7558B"/>
    <w:rsid w:val="00D7723C"/>
    <w:rsid w:val="00D77957"/>
    <w:rsid w:val="00D82310"/>
    <w:rsid w:val="00D8382D"/>
    <w:rsid w:val="00D84837"/>
    <w:rsid w:val="00D85564"/>
    <w:rsid w:val="00D85ABE"/>
    <w:rsid w:val="00D86E53"/>
    <w:rsid w:val="00D87675"/>
    <w:rsid w:val="00D87CCB"/>
    <w:rsid w:val="00D90DB4"/>
    <w:rsid w:val="00D91594"/>
    <w:rsid w:val="00D915C7"/>
    <w:rsid w:val="00D9231B"/>
    <w:rsid w:val="00D92AEC"/>
    <w:rsid w:val="00D92E42"/>
    <w:rsid w:val="00D9322D"/>
    <w:rsid w:val="00D9335D"/>
    <w:rsid w:val="00D939C1"/>
    <w:rsid w:val="00D94AF2"/>
    <w:rsid w:val="00D94C63"/>
    <w:rsid w:val="00D95170"/>
    <w:rsid w:val="00D95AD9"/>
    <w:rsid w:val="00D95D82"/>
    <w:rsid w:val="00D96695"/>
    <w:rsid w:val="00DA0D12"/>
    <w:rsid w:val="00DA10F8"/>
    <w:rsid w:val="00DA11EE"/>
    <w:rsid w:val="00DA1201"/>
    <w:rsid w:val="00DA162E"/>
    <w:rsid w:val="00DA165E"/>
    <w:rsid w:val="00DA1AC2"/>
    <w:rsid w:val="00DA2AE0"/>
    <w:rsid w:val="00DA2C09"/>
    <w:rsid w:val="00DA34C5"/>
    <w:rsid w:val="00DA351A"/>
    <w:rsid w:val="00DA3797"/>
    <w:rsid w:val="00DA3C3D"/>
    <w:rsid w:val="00DA5419"/>
    <w:rsid w:val="00DA62DC"/>
    <w:rsid w:val="00DA7F5C"/>
    <w:rsid w:val="00DB4101"/>
    <w:rsid w:val="00DB428A"/>
    <w:rsid w:val="00DB43FA"/>
    <w:rsid w:val="00DB7679"/>
    <w:rsid w:val="00DC0DA1"/>
    <w:rsid w:val="00DC0EBE"/>
    <w:rsid w:val="00DC12C6"/>
    <w:rsid w:val="00DC2100"/>
    <w:rsid w:val="00DC2BDB"/>
    <w:rsid w:val="00DC4084"/>
    <w:rsid w:val="00DC469F"/>
    <w:rsid w:val="00DC55CE"/>
    <w:rsid w:val="00DC64F7"/>
    <w:rsid w:val="00DC6FC6"/>
    <w:rsid w:val="00DC7717"/>
    <w:rsid w:val="00DC7860"/>
    <w:rsid w:val="00DC7AAF"/>
    <w:rsid w:val="00DC7B2F"/>
    <w:rsid w:val="00DD1066"/>
    <w:rsid w:val="00DD1690"/>
    <w:rsid w:val="00DD181B"/>
    <w:rsid w:val="00DD208B"/>
    <w:rsid w:val="00DD31CD"/>
    <w:rsid w:val="00DD3E77"/>
    <w:rsid w:val="00DD41B3"/>
    <w:rsid w:val="00DD4399"/>
    <w:rsid w:val="00DD5611"/>
    <w:rsid w:val="00DD5B41"/>
    <w:rsid w:val="00DD5F1D"/>
    <w:rsid w:val="00DD636F"/>
    <w:rsid w:val="00DD6B43"/>
    <w:rsid w:val="00DD7173"/>
    <w:rsid w:val="00DD7223"/>
    <w:rsid w:val="00DD7DF2"/>
    <w:rsid w:val="00DE13C5"/>
    <w:rsid w:val="00DE16A7"/>
    <w:rsid w:val="00DE1985"/>
    <w:rsid w:val="00DE1F9F"/>
    <w:rsid w:val="00DE24D1"/>
    <w:rsid w:val="00DE3954"/>
    <w:rsid w:val="00DE3DF8"/>
    <w:rsid w:val="00DE400D"/>
    <w:rsid w:val="00DE5205"/>
    <w:rsid w:val="00DE6937"/>
    <w:rsid w:val="00DF03BD"/>
    <w:rsid w:val="00DF060A"/>
    <w:rsid w:val="00DF14CF"/>
    <w:rsid w:val="00DF2788"/>
    <w:rsid w:val="00DF3CF6"/>
    <w:rsid w:val="00DF4293"/>
    <w:rsid w:val="00DF44DF"/>
    <w:rsid w:val="00DF4992"/>
    <w:rsid w:val="00DF4D5E"/>
    <w:rsid w:val="00DF52D9"/>
    <w:rsid w:val="00DF61B7"/>
    <w:rsid w:val="00DF6735"/>
    <w:rsid w:val="00DF7C9D"/>
    <w:rsid w:val="00DF7DCB"/>
    <w:rsid w:val="00E005AD"/>
    <w:rsid w:val="00E00690"/>
    <w:rsid w:val="00E0192B"/>
    <w:rsid w:val="00E03D72"/>
    <w:rsid w:val="00E047A6"/>
    <w:rsid w:val="00E05493"/>
    <w:rsid w:val="00E05710"/>
    <w:rsid w:val="00E05A24"/>
    <w:rsid w:val="00E05C7F"/>
    <w:rsid w:val="00E06563"/>
    <w:rsid w:val="00E068CC"/>
    <w:rsid w:val="00E06979"/>
    <w:rsid w:val="00E076BB"/>
    <w:rsid w:val="00E07B68"/>
    <w:rsid w:val="00E10131"/>
    <w:rsid w:val="00E1100F"/>
    <w:rsid w:val="00E11BBC"/>
    <w:rsid w:val="00E1273F"/>
    <w:rsid w:val="00E12A71"/>
    <w:rsid w:val="00E1359E"/>
    <w:rsid w:val="00E14059"/>
    <w:rsid w:val="00E14D26"/>
    <w:rsid w:val="00E15680"/>
    <w:rsid w:val="00E161ED"/>
    <w:rsid w:val="00E16358"/>
    <w:rsid w:val="00E1743E"/>
    <w:rsid w:val="00E178FA"/>
    <w:rsid w:val="00E21988"/>
    <w:rsid w:val="00E21E5B"/>
    <w:rsid w:val="00E22093"/>
    <w:rsid w:val="00E2236F"/>
    <w:rsid w:val="00E237D5"/>
    <w:rsid w:val="00E24259"/>
    <w:rsid w:val="00E25615"/>
    <w:rsid w:val="00E25962"/>
    <w:rsid w:val="00E25D31"/>
    <w:rsid w:val="00E26426"/>
    <w:rsid w:val="00E26796"/>
    <w:rsid w:val="00E27875"/>
    <w:rsid w:val="00E30AD4"/>
    <w:rsid w:val="00E3267B"/>
    <w:rsid w:val="00E33B1D"/>
    <w:rsid w:val="00E34848"/>
    <w:rsid w:val="00E35414"/>
    <w:rsid w:val="00E37175"/>
    <w:rsid w:val="00E3720C"/>
    <w:rsid w:val="00E3779C"/>
    <w:rsid w:val="00E40314"/>
    <w:rsid w:val="00E42041"/>
    <w:rsid w:val="00E4241E"/>
    <w:rsid w:val="00E434BF"/>
    <w:rsid w:val="00E43BCF"/>
    <w:rsid w:val="00E44153"/>
    <w:rsid w:val="00E44817"/>
    <w:rsid w:val="00E45ADC"/>
    <w:rsid w:val="00E468D8"/>
    <w:rsid w:val="00E475A6"/>
    <w:rsid w:val="00E47C79"/>
    <w:rsid w:val="00E50978"/>
    <w:rsid w:val="00E51342"/>
    <w:rsid w:val="00E52A6B"/>
    <w:rsid w:val="00E54A04"/>
    <w:rsid w:val="00E5544F"/>
    <w:rsid w:val="00E5581A"/>
    <w:rsid w:val="00E56A03"/>
    <w:rsid w:val="00E573FB"/>
    <w:rsid w:val="00E602F4"/>
    <w:rsid w:val="00E60BE1"/>
    <w:rsid w:val="00E63465"/>
    <w:rsid w:val="00E640D0"/>
    <w:rsid w:val="00E64B37"/>
    <w:rsid w:val="00E6504E"/>
    <w:rsid w:val="00E6694A"/>
    <w:rsid w:val="00E671EF"/>
    <w:rsid w:val="00E70B0F"/>
    <w:rsid w:val="00E70C4A"/>
    <w:rsid w:val="00E728A7"/>
    <w:rsid w:val="00E7293A"/>
    <w:rsid w:val="00E73C58"/>
    <w:rsid w:val="00E74038"/>
    <w:rsid w:val="00E750E0"/>
    <w:rsid w:val="00E758ED"/>
    <w:rsid w:val="00E77310"/>
    <w:rsid w:val="00E77B29"/>
    <w:rsid w:val="00E77CB3"/>
    <w:rsid w:val="00E82101"/>
    <w:rsid w:val="00E82429"/>
    <w:rsid w:val="00E82955"/>
    <w:rsid w:val="00E83D5B"/>
    <w:rsid w:val="00E83F6D"/>
    <w:rsid w:val="00E84555"/>
    <w:rsid w:val="00E86164"/>
    <w:rsid w:val="00E866FE"/>
    <w:rsid w:val="00E86EF7"/>
    <w:rsid w:val="00E870DA"/>
    <w:rsid w:val="00E877BF"/>
    <w:rsid w:val="00E91AD5"/>
    <w:rsid w:val="00E95D8D"/>
    <w:rsid w:val="00E97378"/>
    <w:rsid w:val="00EA04A6"/>
    <w:rsid w:val="00EA0D8B"/>
    <w:rsid w:val="00EA18B5"/>
    <w:rsid w:val="00EA1C87"/>
    <w:rsid w:val="00EA1CE8"/>
    <w:rsid w:val="00EA24EB"/>
    <w:rsid w:val="00EA4DD7"/>
    <w:rsid w:val="00EA5677"/>
    <w:rsid w:val="00EA5CAD"/>
    <w:rsid w:val="00EA6189"/>
    <w:rsid w:val="00EA6483"/>
    <w:rsid w:val="00EA75B2"/>
    <w:rsid w:val="00EA7717"/>
    <w:rsid w:val="00EB07E7"/>
    <w:rsid w:val="00EB478B"/>
    <w:rsid w:val="00EB4B9A"/>
    <w:rsid w:val="00EB533C"/>
    <w:rsid w:val="00EB5963"/>
    <w:rsid w:val="00EB5F6E"/>
    <w:rsid w:val="00EB7B0B"/>
    <w:rsid w:val="00EB7E7E"/>
    <w:rsid w:val="00EC0CCC"/>
    <w:rsid w:val="00EC1228"/>
    <w:rsid w:val="00EC2041"/>
    <w:rsid w:val="00EC27E4"/>
    <w:rsid w:val="00EC3587"/>
    <w:rsid w:val="00EC419E"/>
    <w:rsid w:val="00EC46F8"/>
    <w:rsid w:val="00EC4BCB"/>
    <w:rsid w:val="00EC52DD"/>
    <w:rsid w:val="00EC6095"/>
    <w:rsid w:val="00EC6B52"/>
    <w:rsid w:val="00ED0EAD"/>
    <w:rsid w:val="00ED1CC8"/>
    <w:rsid w:val="00ED207F"/>
    <w:rsid w:val="00ED2F2B"/>
    <w:rsid w:val="00ED320E"/>
    <w:rsid w:val="00ED325A"/>
    <w:rsid w:val="00ED3814"/>
    <w:rsid w:val="00ED466D"/>
    <w:rsid w:val="00ED4795"/>
    <w:rsid w:val="00ED7F8C"/>
    <w:rsid w:val="00EE063D"/>
    <w:rsid w:val="00EE0F24"/>
    <w:rsid w:val="00EE11B4"/>
    <w:rsid w:val="00EE1834"/>
    <w:rsid w:val="00EE1CED"/>
    <w:rsid w:val="00EE2AC1"/>
    <w:rsid w:val="00EE30C9"/>
    <w:rsid w:val="00EE37DF"/>
    <w:rsid w:val="00EE3D23"/>
    <w:rsid w:val="00EE4FF2"/>
    <w:rsid w:val="00EE5E1D"/>
    <w:rsid w:val="00EE6F5D"/>
    <w:rsid w:val="00EE7EC3"/>
    <w:rsid w:val="00EF00A2"/>
    <w:rsid w:val="00EF0891"/>
    <w:rsid w:val="00EF0BF9"/>
    <w:rsid w:val="00EF0DBB"/>
    <w:rsid w:val="00EF1E2B"/>
    <w:rsid w:val="00EF2D28"/>
    <w:rsid w:val="00EF2F09"/>
    <w:rsid w:val="00EF3402"/>
    <w:rsid w:val="00EF39CB"/>
    <w:rsid w:val="00EF423E"/>
    <w:rsid w:val="00EF48E2"/>
    <w:rsid w:val="00EF4C39"/>
    <w:rsid w:val="00EF6795"/>
    <w:rsid w:val="00EF7688"/>
    <w:rsid w:val="00F00239"/>
    <w:rsid w:val="00F007BF"/>
    <w:rsid w:val="00F00947"/>
    <w:rsid w:val="00F00EBA"/>
    <w:rsid w:val="00F01433"/>
    <w:rsid w:val="00F02133"/>
    <w:rsid w:val="00F02455"/>
    <w:rsid w:val="00F032B5"/>
    <w:rsid w:val="00F03771"/>
    <w:rsid w:val="00F03F2E"/>
    <w:rsid w:val="00F04F8D"/>
    <w:rsid w:val="00F064F8"/>
    <w:rsid w:val="00F0776A"/>
    <w:rsid w:val="00F10F59"/>
    <w:rsid w:val="00F1191F"/>
    <w:rsid w:val="00F11ED5"/>
    <w:rsid w:val="00F11F97"/>
    <w:rsid w:val="00F12AD7"/>
    <w:rsid w:val="00F14386"/>
    <w:rsid w:val="00F14794"/>
    <w:rsid w:val="00F14EAD"/>
    <w:rsid w:val="00F15570"/>
    <w:rsid w:val="00F15FDF"/>
    <w:rsid w:val="00F164CA"/>
    <w:rsid w:val="00F16792"/>
    <w:rsid w:val="00F16828"/>
    <w:rsid w:val="00F169BD"/>
    <w:rsid w:val="00F17506"/>
    <w:rsid w:val="00F209BC"/>
    <w:rsid w:val="00F21421"/>
    <w:rsid w:val="00F221CE"/>
    <w:rsid w:val="00F22B95"/>
    <w:rsid w:val="00F232F1"/>
    <w:rsid w:val="00F23BD4"/>
    <w:rsid w:val="00F23EFB"/>
    <w:rsid w:val="00F24A97"/>
    <w:rsid w:val="00F2643E"/>
    <w:rsid w:val="00F26BA5"/>
    <w:rsid w:val="00F3132B"/>
    <w:rsid w:val="00F3156D"/>
    <w:rsid w:val="00F319AD"/>
    <w:rsid w:val="00F31AB3"/>
    <w:rsid w:val="00F31ABF"/>
    <w:rsid w:val="00F31C36"/>
    <w:rsid w:val="00F31C77"/>
    <w:rsid w:val="00F32EF1"/>
    <w:rsid w:val="00F340F9"/>
    <w:rsid w:val="00F34FA2"/>
    <w:rsid w:val="00F350AF"/>
    <w:rsid w:val="00F35453"/>
    <w:rsid w:val="00F357A4"/>
    <w:rsid w:val="00F361EE"/>
    <w:rsid w:val="00F36879"/>
    <w:rsid w:val="00F369B7"/>
    <w:rsid w:val="00F36E94"/>
    <w:rsid w:val="00F3722D"/>
    <w:rsid w:val="00F37517"/>
    <w:rsid w:val="00F375F3"/>
    <w:rsid w:val="00F3795C"/>
    <w:rsid w:val="00F41540"/>
    <w:rsid w:val="00F42F2A"/>
    <w:rsid w:val="00F433DD"/>
    <w:rsid w:val="00F43BE8"/>
    <w:rsid w:val="00F43C2F"/>
    <w:rsid w:val="00F44563"/>
    <w:rsid w:val="00F44D10"/>
    <w:rsid w:val="00F4579D"/>
    <w:rsid w:val="00F457DA"/>
    <w:rsid w:val="00F45948"/>
    <w:rsid w:val="00F45A19"/>
    <w:rsid w:val="00F46191"/>
    <w:rsid w:val="00F46257"/>
    <w:rsid w:val="00F504A9"/>
    <w:rsid w:val="00F51A2F"/>
    <w:rsid w:val="00F51B51"/>
    <w:rsid w:val="00F5234C"/>
    <w:rsid w:val="00F53130"/>
    <w:rsid w:val="00F534D1"/>
    <w:rsid w:val="00F53AEE"/>
    <w:rsid w:val="00F562D4"/>
    <w:rsid w:val="00F56E7C"/>
    <w:rsid w:val="00F57866"/>
    <w:rsid w:val="00F602C1"/>
    <w:rsid w:val="00F60AB1"/>
    <w:rsid w:val="00F63136"/>
    <w:rsid w:val="00F64339"/>
    <w:rsid w:val="00F6458F"/>
    <w:rsid w:val="00F659D1"/>
    <w:rsid w:val="00F66D43"/>
    <w:rsid w:val="00F67E21"/>
    <w:rsid w:val="00F703E1"/>
    <w:rsid w:val="00F70EC3"/>
    <w:rsid w:val="00F71866"/>
    <w:rsid w:val="00F71D7A"/>
    <w:rsid w:val="00F7238B"/>
    <w:rsid w:val="00F733AC"/>
    <w:rsid w:val="00F73807"/>
    <w:rsid w:val="00F7382A"/>
    <w:rsid w:val="00F73E61"/>
    <w:rsid w:val="00F75BC6"/>
    <w:rsid w:val="00F75DDE"/>
    <w:rsid w:val="00F767A8"/>
    <w:rsid w:val="00F76CD2"/>
    <w:rsid w:val="00F809AA"/>
    <w:rsid w:val="00F817CD"/>
    <w:rsid w:val="00F8187A"/>
    <w:rsid w:val="00F82AD7"/>
    <w:rsid w:val="00F82C9A"/>
    <w:rsid w:val="00F83948"/>
    <w:rsid w:val="00F857B1"/>
    <w:rsid w:val="00F85B96"/>
    <w:rsid w:val="00F864A8"/>
    <w:rsid w:val="00F8652F"/>
    <w:rsid w:val="00F86FCD"/>
    <w:rsid w:val="00F87E1E"/>
    <w:rsid w:val="00F90041"/>
    <w:rsid w:val="00F90613"/>
    <w:rsid w:val="00F9061A"/>
    <w:rsid w:val="00F90836"/>
    <w:rsid w:val="00F90E07"/>
    <w:rsid w:val="00F912A1"/>
    <w:rsid w:val="00F92ADA"/>
    <w:rsid w:val="00F96BBB"/>
    <w:rsid w:val="00F970CC"/>
    <w:rsid w:val="00F9723D"/>
    <w:rsid w:val="00FA0201"/>
    <w:rsid w:val="00FA06E7"/>
    <w:rsid w:val="00FA22B5"/>
    <w:rsid w:val="00FA279D"/>
    <w:rsid w:val="00FA27CC"/>
    <w:rsid w:val="00FA428F"/>
    <w:rsid w:val="00FA49A3"/>
    <w:rsid w:val="00FA4BE0"/>
    <w:rsid w:val="00FA50DE"/>
    <w:rsid w:val="00FA57D7"/>
    <w:rsid w:val="00FA5E9E"/>
    <w:rsid w:val="00FA6069"/>
    <w:rsid w:val="00FA7147"/>
    <w:rsid w:val="00FA7DC3"/>
    <w:rsid w:val="00FB042B"/>
    <w:rsid w:val="00FB0C61"/>
    <w:rsid w:val="00FB21D3"/>
    <w:rsid w:val="00FB33C3"/>
    <w:rsid w:val="00FB38CA"/>
    <w:rsid w:val="00FB6F10"/>
    <w:rsid w:val="00FC0FEB"/>
    <w:rsid w:val="00FC1286"/>
    <w:rsid w:val="00FC1624"/>
    <w:rsid w:val="00FC16F2"/>
    <w:rsid w:val="00FC2101"/>
    <w:rsid w:val="00FC2B14"/>
    <w:rsid w:val="00FC2F5B"/>
    <w:rsid w:val="00FC37B1"/>
    <w:rsid w:val="00FC4E43"/>
    <w:rsid w:val="00FC519F"/>
    <w:rsid w:val="00FC5DB0"/>
    <w:rsid w:val="00FC6215"/>
    <w:rsid w:val="00FC6ADE"/>
    <w:rsid w:val="00FC7814"/>
    <w:rsid w:val="00FC7AC0"/>
    <w:rsid w:val="00FD052B"/>
    <w:rsid w:val="00FD1B19"/>
    <w:rsid w:val="00FD3315"/>
    <w:rsid w:val="00FD3464"/>
    <w:rsid w:val="00FD4AD0"/>
    <w:rsid w:val="00FD4FA8"/>
    <w:rsid w:val="00FD62DA"/>
    <w:rsid w:val="00FD6D98"/>
    <w:rsid w:val="00FD7A3E"/>
    <w:rsid w:val="00FE0DD7"/>
    <w:rsid w:val="00FE1FE1"/>
    <w:rsid w:val="00FE2347"/>
    <w:rsid w:val="00FE2CA1"/>
    <w:rsid w:val="00FE368F"/>
    <w:rsid w:val="00FE3ABD"/>
    <w:rsid w:val="00FE3EEB"/>
    <w:rsid w:val="00FE4F37"/>
    <w:rsid w:val="00FE5D22"/>
    <w:rsid w:val="00FE6AD3"/>
    <w:rsid w:val="00FE7158"/>
    <w:rsid w:val="00FF188C"/>
    <w:rsid w:val="00FF260E"/>
    <w:rsid w:val="00FF2A0D"/>
    <w:rsid w:val="00FF4451"/>
    <w:rsid w:val="00FF4AC0"/>
    <w:rsid w:val="00FF59CC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01F7"/>
    <w:pPr>
      <w:spacing w:before="100" w:beforeAutospacing="1" w:after="120" w:line="480" w:lineRule="atLeast"/>
      <w:outlineLvl w:val="0"/>
    </w:pPr>
    <w:rPr>
      <w:b/>
      <w:bCs/>
      <w:color w:val="505050"/>
      <w:spacing w:val="-15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1B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5C1A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1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1A43"/>
  </w:style>
  <w:style w:type="paragraph" w:customStyle="1" w:styleId="ConsNonformat">
    <w:name w:val="ConsNonformat"/>
    <w:link w:val="ConsNonformat0"/>
    <w:rsid w:val="005D7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5D70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Сноска_"/>
    <w:basedOn w:val="a0"/>
    <w:link w:val="a7"/>
    <w:rsid w:val="00151D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Сноска + 8 pt;Курсив"/>
    <w:basedOn w:val="a6"/>
    <w:rsid w:val="00151D3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8">
    <w:name w:val="Основной текст_"/>
    <w:basedOn w:val="a0"/>
    <w:link w:val="11"/>
    <w:rsid w:val="00151D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rsid w:val="0015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">
    <w:name w:val="Основной текст + Курсив;Интервал 0 pt"/>
    <w:basedOn w:val="a8"/>
    <w:rsid w:val="00151D3C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a9">
    <w:name w:val="Колонтитул_"/>
    <w:basedOn w:val="a0"/>
    <w:link w:val="aa"/>
    <w:rsid w:val="00151D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9"/>
    <w:rsid w:val="00151D3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4pt">
    <w:name w:val="Основной текст + 14 pt;Курсив"/>
    <w:basedOn w:val="a8"/>
    <w:rsid w:val="00151D3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basedOn w:val="a8"/>
    <w:rsid w:val="00151D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6"/>
    <w:rsid w:val="0015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single"/>
    </w:rPr>
  </w:style>
  <w:style w:type="paragraph" w:customStyle="1" w:styleId="a7">
    <w:name w:val="Сноска"/>
    <w:basedOn w:val="a"/>
    <w:link w:val="a6"/>
    <w:rsid w:val="00151D3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11">
    <w:name w:val="Основной текст1"/>
    <w:basedOn w:val="a"/>
    <w:link w:val="a8"/>
    <w:rsid w:val="00151D3C"/>
    <w:pPr>
      <w:shd w:val="clear" w:color="auto" w:fill="FFFFFF"/>
      <w:spacing w:line="310" w:lineRule="exact"/>
    </w:pPr>
    <w:rPr>
      <w:sz w:val="27"/>
      <w:szCs w:val="27"/>
      <w:lang w:eastAsia="en-US"/>
    </w:rPr>
  </w:style>
  <w:style w:type="paragraph" w:customStyle="1" w:styleId="aa">
    <w:name w:val="Колонтитул"/>
    <w:basedOn w:val="a"/>
    <w:link w:val="a9"/>
    <w:rsid w:val="00151D3C"/>
    <w:pPr>
      <w:shd w:val="clear" w:color="auto" w:fill="FFFFFF"/>
    </w:pPr>
    <w:rPr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4D6C34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D6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D6C3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6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3">
    <w:name w:val="Body Text 23"/>
    <w:basedOn w:val="a"/>
    <w:rsid w:val="004D6C3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e">
    <w:name w:val="List Paragraph"/>
    <w:aliases w:val="ПАРАГРАФ,Абзац списка11,List Paragraph"/>
    <w:basedOn w:val="a"/>
    <w:link w:val="af"/>
    <w:uiPriority w:val="34"/>
    <w:qFormat/>
    <w:rsid w:val="00C1230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0959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5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BD1DEB"/>
  </w:style>
  <w:style w:type="paragraph" w:customStyle="1" w:styleId="Default">
    <w:name w:val="Default"/>
    <w:rsid w:val="00D1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965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65B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39417A"/>
    <w:rPr>
      <w:strike w:val="0"/>
      <w:dstrike w:val="0"/>
      <w:color w:val="174F82"/>
      <w:u w:val="none"/>
      <w:effect w:val="none"/>
    </w:rPr>
  </w:style>
  <w:style w:type="paragraph" w:customStyle="1" w:styleId="23">
    <w:name w:val="Основной текст2"/>
    <w:basedOn w:val="a"/>
    <w:rsid w:val="00AF11BF"/>
    <w:pPr>
      <w:shd w:val="clear" w:color="auto" w:fill="FFFFFF"/>
      <w:spacing w:line="295" w:lineRule="exact"/>
    </w:pPr>
    <w:rPr>
      <w:color w:val="000000"/>
      <w:sz w:val="26"/>
      <w:szCs w:val="26"/>
      <w:lang w:val="ru"/>
    </w:rPr>
  </w:style>
  <w:style w:type="table" w:styleId="af5">
    <w:name w:val="Table Grid"/>
    <w:basedOn w:val="a1"/>
    <w:uiPriority w:val="39"/>
    <w:rsid w:val="001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01F7"/>
    <w:rPr>
      <w:rFonts w:ascii="Times New Roman" w:eastAsia="Times New Roman" w:hAnsi="Times New Roman" w:cs="Times New Roman"/>
      <w:b/>
      <w:bCs/>
      <w:color w:val="505050"/>
      <w:spacing w:val="-15"/>
      <w:kern w:val="36"/>
      <w:sz w:val="48"/>
      <w:szCs w:val="48"/>
      <w:lang w:eastAsia="ru-RU"/>
    </w:rPr>
  </w:style>
  <w:style w:type="paragraph" w:styleId="af6">
    <w:name w:val="Plain Text"/>
    <w:basedOn w:val="a"/>
    <w:link w:val="af7"/>
    <w:rsid w:val="002601F7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rsid w:val="002601F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8">
    <w:name w:val="Знак"/>
    <w:basedOn w:val="a"/>
    <w:rsid w:val="00C57CE3"/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rsid w:val="007F1D60"/>
    <w:pPr>
      <w:spacing w:before="100" w:beforeAutospacing="1" w:after="330"/>
    </w:pPr>
  </w:style>
  <w:style w:type="character" w:customStyle="1" w:styleId="apple-converted-space">
    <w:name w:val="apple-converted-space"/>
    <w:basedOn w:val="a0"/>
    <w:rsid w:val="00111146"/>
  </w:style>
  <w:style w:type="character" w:customStyle="1" w:styleId="iceouttxt5">
    <w:name w:val="iceouttxt5"/>
    <w:rsid w:val="00111146"/>
  </w:style>
  <w:style w:type="character" w:customStyle="1" w:styleId="h1content">
    <w:name w:val="h1_content"/>
    <w:basedOn w:val="a0"/>
    <w:rsid w:val="000C7C53"/>
  </w:style>
  <w:style w:type="character" w:customStyle="1" w:styleId="20">
    <w:name w:val="Заголовок 2 Знак"/>
    <w:basedOn w:val="a0"/>
    <w:link w:val="2"/>
    <w:uiPriority w:val="9"/>
    <w:rsid w:val="00F5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stupdated1">
    <w:name w:val="lastupdated1"/>
    <w:basedOn w:val="a0"/>
    <w:rsid w:val="00F51B51"/>
  </w:style>
  <w:style w:type="paragraph" w:customStyle="1" w:styleId="ingress2">
    <w:name w:val="ingress2"/>
    <w:basedOn w:val="a"/>
    <w:rsid w:val="00F51B51"/>
    <w:pPr>
      <w:spacing w:before="100" w:beforeAutospacing="1" w:after="60" w:line="300" w:lineRule="atLeast"/>
    </w:pPr>
    <w:rPr>
      <w:b/>
      <w:bCs/>
    </w:rPr>
  </w:style>
  <w:style w:type="paragraph" w:customStyle="1" w:styleId="caption10">
    <w:name w:val="caption10"/>
    <w:basedOn w:val="a"/>
    <w:rsid w:val="00F51B51"/>
    <w:pPr>
      <w:spacing w:before="100" w:beforeAutospacing="1" w:after="45" w:line="300" w:lineRule="atLeast"/>
    </w:pPr>
    <w:rPr>
      <w:color w:val="505050"/>
      <w:sz w:val="21"/>
      <w:szCs w:val="21"/>
    </w:rPr>
  </w:style>
  <w:style w:type="character" w:customStyle="1" w:styleId="label8">
    <w:name w:val="label8"/>
    <w:basedOn w:val="a0"/>
    <w:rsid w:val="00F51B51"/>
    <w:rPr>
      <w:vanish w:val="0"/>
      <w:webHidden w:val="0"/>
      <w:specVanish w:val="0"/>
    </w:rPr>
  </w:style>
  <w:style w:type="character" w:customStyle="1" w:styleId="link-title">
    <w:name w:val="link-title"/>
    <w:basedOn w:val="a0"/>
    <w:rsid w:val="00F51B51"/>
  </w:style>
  <w:style w:type="paragraph" w:customStyle="1" w:styleId="ConsPlusCell">
    <w:name w:val="ConsPlusCell"/>
    <w:uiPriority w:val="99"/>
    <w:rsid w:val="00F51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F51B5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51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F51B51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F51B5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31">
    <w:name w:val="Основной текст с отступом 31"/>
    <w:basedOn w:val="a"/>
    <w:rsid w:val="00F51B51"/>
    <w:pPr>
      <w:ind w:firstLine="567"/>
      <w:jc w:val="both"/>
    </w:pPr>
    <w:rPr>
      <w:sz w:val="32"/>
      <w:szCs w:val="20"/>
    </w:rPr>
  </w:style>
  <w:style w:type="character" w:customStyle="1" w:styleId="2pt">
    <w:name w:val="Основной текст + Интервал 2 pt"/>
    <w:basedOn w:val="a8"/>
    <w:rsid w:val="00F51B51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1B5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B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B51"/>
    <w:pPr>
      <w:shd w:val="clear" w:color="auto" w:fill="FFFFFF"/>
      <w:spacing w:before="60" w:line="191" w:lineRule="exact"/>
      <w:ind w:firstLine="5240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F51B51"/>
    <w:pPr>
      <w:shd w:val="clear" w:color="auto" w:fill="FFFFFF"/>
      <w:spacing w:before="2700" w:line="0" w:lineRule="atLeast"/>
      <w:jc w:val="both"/>
    </w:pPr>
    <w:rPr>
      <w:sz w:val="18"/>
      <w:szCs w:val="18"/>
      <w:lang w:eastAsia="en-US"/>
    </w:rPr>
  </w:style>
  <w:style w:type="paragraph" w:styleId="afc">
    <w:name w:val="No Spacing"/>
    <w:uiPriority w:val="1"/>
    <w:qFormat/>
    <w:rsid w:val="00F51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pt0pt">
    <w:name w:val="Основной текст + 12 pt;Полужирный;Интервал 0 pt"/>
    <w:basedOn w:val="a8"/>
    <w:rsid w:val="00F51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af">
    <w:name w:val="Абзац списка Знак"/>
    <w:aliases w:val="ПАРАГРАФ Знак,Абзац списка11 Знак,List Paragraph Знак"/>
    <w:link w:val="ae"/>
    <w:uiPriority w:val="34"/>
    <w:locked/>
    <w:rsid w:val="0042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66C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d">
    <w:name w:val="Strong"/>
    <w:basedOn w:val="a0"/>
    <w:uiPriority w:val="22"/>
    <w:qFormat/>
    <w:rsid w:val="00716043"/>
    <w:rPr>
      <w:b/>
      <w:bCs/>
    </w:rPr>
  </w:style>
  <w:style w:type="paragraph" w:styleId="afe">
    <w:name w:val="caption"/>
    <w:basedOn w:val="a"/>
    <w:next w:val="a"/>
    <w:uiPriority w:val="35"/>
    <w:unhideWhenUsed/>
    <w:qFormat/>
    <w:rsid w:val="00696128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TOC Heading"/>
    <w:basedOn w:val="1"/>
    <w:next w:val="a"/>
    <w:uiPriority w:val="39"/>
    <w:semiHidden/>
    <w:unhideWhenUsed/>
    <w:qFormat/>
    <w:rsid w:val="00721790"/>
    <w:pPr>
      <w:keepNext/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21790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qFormat/>
    <w:rsid w:val="00721790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12744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01F7"/>
    <w:pPr>
      <w:spacing w:before="100" w:beforeAutospacing="1" w:after="120" w:line="480" w:lineRule="atLeast"/>
      <w:outlineLvl w:val="0"/>
    </w:pPr>
    <w:rPr>
      <w:b/>
      <w:bCs/>
      <w:color w:val="505050"/>
      <w:spacing w:val="-15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51B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5C1A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1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C1A43"/>
  </w:style>
  <w:style w:type="paragraph" w:customStyle="1" w:styleId="ConsNonformat">
    <w:name w:val="ConsNonformat"/>
    <w:link w:val="ConsNonformat0"/>
    <w:rsid w:val="005D7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5D70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Сноска_"/>
    <w:basedOn w:val="a0"/>
    <w:link w:val="a7"/>
    <w:rsid w:val="00151D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Сноска + 8 pt;Курсив"/>
    <w:basedOn w:val="a6"/>
    <w:rsid w:val="00151D3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8">
    <w:name w:val="Основной текст_"/>
    <w:basedOn w:val="a0"/>
    <w:link w:val="11"/>
    <w:rsid w:val="00151D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rsid w:val="0015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0pt">
    <w:name w:val="Основной текст + Курсив;Интервал 0 pt"/>
    <w:basedOn w:val="a8"/>
    <w:rsid w:val="00151D3C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a9">
    <w:name w:val="Колонтитул_"/>
    <w:basedOn w:val="a0"/>
    <w:link w:val="aa"/>
    <w:rsid w:val="00151D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9"/>
    <w:rsid w:val="00151D3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4pt">
    <w:name w:val="Основной текст + 14 pt;Курсив"/>
    <w:basedOn w:val="a8"/>
    <w:rsid w:val="00151D3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basedOn w:val="a8"/>
    <w:rsid w:val="00151D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6"/>
    <w:rsid w:val="0015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u w:val="single"/>
    </w:rPr>
  </w:style>
  <w:style w:type="paragraph" w:customStyle="1" w:styleId="a7">
    <w:name w:val="Сноска"/>
    <w:basedOn w:val="a"/>
    <w:link w:val="a6"/>
    <w:rsid w:val="00151D3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11">
    <w:name w:val="Основной текст1"/>
    <w:basedOn w:val="a"/>
    <w:link w:val="a8"/>
    <w:rsid w:val="00151D3C"/>
    <w:pPr>
      <w:shd w:val="clear" w:color="auto" w:fill="FFFFFF"/>
      <w:spacing w:line="310" w:lineRule="exact"/>
    </w:pPr>
    <w:rPr>
      <w:sz w:val="27"/>
      <w:szCs w:val="27"/>
      <w:lang w:eastAsia="en-US"/>
    </w:rPr>
  </w:style>
  <w:style w:type="paragraph" w:customStyle="1" w:styleId="aa">
    <w:name w:val="Колонтитул"/>
    <w:basedOn w:val="a"/>
    <w:link w:val="a9"/>
    <w:rsid w:val="00151D3C"/>
    <w:pPr>
      <w:shd w:val="clear" w:color="auto" w:fill="FFFFFF"/>
    </w:pPr>
    <w:rPr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4D6C34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4D6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D6C3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6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3">
    <w:name w:val="Body Text 23"/>
    <w:basedOn w:val="a"/>
    <w:rsid w:val="004D6C3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e">
    <w:name w:val="List Paragraph"/>
    <w:aliases w:val="ПАРАГРАФ,Абзац списка11,List Paragraph"/>
    <w:basedOn w:val="a"/>
    <w:link w:val="af"/>
    <w:uiPriority w:val="34"/>
    <w:qFormat/>
    <w:rsid w:val="00C1230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0959A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95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BD1DEB"/>
  </w:style>
  <w:style w:type="paragraph" w:customStyle="1" w:styleId="Default">
    <w:name w:val="Default"/>
    <w:rsid w:val="00D1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965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65B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39417A"/>
    <w:rPr>
      <w:strike w:val="0"/>
      <w:dstrike w:val="0"/>
      <w:color w:val="174F82"/>
      <w:u w:val="none"/>
      <w:effect w:val="none"/>
    </w:rPr>
  </w:style>
  <w:style w:type="paragraph" w:customStyle="1" w:styleId="23">
    <w:name w:val="Основной текст2"/>
    <w:basedOn w:val="a"/>
    <w:rsid w:val="00AF11BF"/>
    <w:pPr>
      <w:shd w:val="clear" w:color="auto" w:fill="FFFFFF"/>
      <w:spacing w:line="295" w:lineRule="exact"/>
    </w:pPr>
    <w:rPr>
      <w:color w:val="000000"/>
      <w:sz w:val="26"/>
      <w:szCs w:val="26"/>
      <w:lang w:val="ru"/>
    </w:rPr>
  </w:style>
  <w:style w:type="table" w:styleId="af5">
    <w:name w:val="Table Grid"/>
    <w:basedOn w:val="a1"/>
    <w:uiPriority w:val="39"/>
    <w:rsid w:val="001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01F7"/>
    <w:rPr>
      <w:rFonts w:ascii="Times New Roman" w:eastAsia="Times New Roman" w:hAnsi="Times New Roman" w:cs="Times New Roman"/>
      <w:b/>
      <w:bCs/>
      <w:color w:val="505050"/>
      <w:spacing w:val="-15"/>
      <w:kern w:val="36"/>
      <w:sz w:val="48"/>
      <w:szCs w:val="48"/>
      <w:lang w:eastAsia="ru-RU"/>
    </w:rPr>
  </w:style>
  <w:style w:type="paragraph" w:styleId="af6">
    <w:name w:val="Plain Text"/>
    <w:basedOn w:val="a"/>
    <w:link w:val="af7"/>
    <w:rsid w:val="002601F7"/>
    <w:rPr>
      <w:rFonts w:ascii="Consolas" w:hAnsi="Consolas" w:cs="Consolas"/>
      <w:sz w:val="21"/>
      <w:szCs w:val="21"/>
    </w:rPr>
  </w:style>
  <w:style w:type="character" w:customStyle="1" w:styleId="af7">
    <w:name w:val="Текст Знак"/>
    <w:basedOn w:val="a0"/>
    <w:link w:val="af6"/>
    <w:rsid w:val="002601F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8">
    <w:name w:val="Знак"/>
    <w:basedOn w:val="a"/>
    <w:rsid w:val="00C57CE3"/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rsid w:val="007F1D60"/>
    <w:pPr>
      <w:spacing w:before="100" w:beforeAutospacing="1" w:after="330"/>
    </w:pPr>
  </w:style>
  <w:style w:type="character" w:customStyle="1" w:styleId="apple-converted-space">
    <w:name w:val="apple-converted-space"/>
    <w:basedOn w:val="a0"/>
    <w:rsid w:val="00111146"/>
  </w:style>
  <w:style w:type="character" w:customStyle="1" w:styleId="iceouttxt5">
    <w:name w:val="iceouttxt5"/>
    <w:rsid w:val="00111146"/>
  </w:style>
  <w:style w:type="character" w:customStyle="1" w:styleId="h1content">
    <w:name w:val="h1_content"/>
    <w:basedOn w:val="a0"/>
    <w:rsid w:val="000C7C53"/>
  </w:style>
  <w:style w:type="character" w:customStyle="1" w:styleId="20">
    <w:name w:val="Заголовок 2 Знак"/>
    <w:basedOn w:val="a0"/>
    <w:link w:val="2"/>
    <w:uiPriority w:val="9"/>
    <w:rsid w:val="00F5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stupdated1">
    <w:name w:val="lastupdated1"/>
    <w:basedOn w:val="a0"/>
    <w:rsid w:val="00F51B51"/>
  </w:style>
  <w:style w:type="paragraph" w:customStyle="1" w:styleId="ingress2">
    <w:name w:val="ingress2"/>
    <w:basedOn w:val="a"/>
    <w:rsid w:val="00F51B51"/>
    <w:pPr>
      <w:spacing w:before="100" w:beforeAutospacing="1" w:after="60" w:line="300" w:lineRule="atLeast"/>
    </w:pPr>
    <w:rPr>
      <w:b/>
      <w:bCs/>
    </w:rPr>
  </w:style>
  <w:style w:type="paragraph" w:customStyle="1" w:styleId="caption10">
    <w:name w:val="caption10"/>
    <w:basedOn w:val="a"/>
    <w:rsid w:val="00F51B51"/>
    <w:pPr>
      <w:spacing w:before="100" w:beforeAutospacing="1" w:after="45" w:line="300" w:lineRule="atLeast"/>
    </w:pPr>
    <w:rPr>
      <w:color w:val="505050"/>
      <w:sz w:val="21"/>
      <w:szCs w:val="21"/>
    </w:rPr>
  </w:style>
  <w:style w:type="character" w:customStyle="1" w:styleId="label8">
    <w:name w:val="label8"/>
    <w:basedOn w:val="a0"/>
    <w:rsid w:val="00F51B51"/>
    <w:rPr>
      <w:vanish w:val="0"/>
      <w:webHidden w:val="0"/>
      <w:specVanish w:val="0"/>
    </w:rPr>
  </w:style>
  <w:style w:type="character" w:customStyle="1" w:styleId="link-title">
    <w:name w:val="link-title"/>
    <w:basedOn w:val="a0"/>
    <w:rsid w:val="00F51B51"/>
  </w:style>
  <w:style w:type="paragraph" w:customStyle="1" w:styleId="ConsPlusCell">
    <w:name w:val="ConsPlusCell"/>
    <w:uiPriority w:val="99"/>
    <w:rsid w:val="00F51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F51B5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51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F51B51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F51B5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31">
    <w:name w:val="Основной текст с отступом 31"/>
    <w:basedOn w:val="a"/>
    <w:rsid w:val="00F51B51"/>
    <w:pPr>
      <w:ind w:firstLine="567"/>
      <w:jc w:val="both"/>
    </w:pPr>
    <w:rPr>
      <w:sz w:val="32"/>
      <w:szCs w:val="20"/>
    </w:rPr>
  </w:style>
  <w:style w:type="character" w:customStyle="1" w:styleId="2pt">
    <w:name w:val="Основной текст + Интервал 2 pt"/>
    <w:basedOn w:val="a8"/>
    <w:rsid w:val="00F51B51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1B5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1B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B51"/>
    <w:pPr>
      <w:shd w:val="clear" w:color="auto" w:fill="FFFFFF"/>
      <w:spacing w:before="60" w:line="191" w:lineRule="exact"/>
      <w:ind w:firstLine="5240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F51B51"/>
    <w:pPr>
      <w:shd w:val="clear" w:color="auto" w:fill="FFFFFF"/>
      <w:spacing w:before="2700" w:line="0" w:lineRule="atLeast"/>
      <w:jc w:val="both"/>
    </w:pPr>
    <w:rPr>
      <w:sz w:val="18"/>
      <w:szCs w:val="18"/>
      <w:lang w:eastAsia="en-US"/>
    </w:rPr>
  </w:style>
  <w:style w:type="paragraph" w:styleId="afc">
    <w:name w:val="No Spacing"/>
    <w:uiPriority w:val="1"/>
    <w:qFormat/>
    <w:rsid w:val="00F51B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2pt0pt">
    <w:name w:val="Основной текст + 12 pt;Полужирный;Интервал 0 pt"/>
    <w:basedOn w:val="a8"/>
    <w:rsid w:val="00F51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af">
    <w:name w:val="Абзац списка Знак"/>
    <w:aliases w:val="ПАРАГРАФ Знак,Абзац списка11 Знак,List Paragraph Знак"/>
    <w:link w:val="ae"/>
    <w:uiPriority w:val="34"/>
    <w:locked/>
    <w:rsid w:val="00420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66C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d">
    <w:name w:val="Strong"/>
    <w:basedOn w:val="a0"/>
    <w:uiPriority w:val="22"/>
    <w:qFormat/>
    <w:rsid w:val="00716043"/>
    <w:rPr>
      <w:b/>
      <w:bCs/>
    </w:rPr>
  </w:style>
  <w:style w:type="paragraph" w:styleId="afe">
    <w:name w:val="caption"/>
    <w:basedOn w:val="a"/>
    <w:next w:val="a"/>
    <w:uiPriority w:val="35"/>
    <w:unhideWhenUsed/>
    <w:qFormat/>
    <w:rsid w:val="00696128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TOC Heading"/>
    <w:basedOn w:val="1"/>
    <w:next w:val="a"/>
    <w:uiPriority w:val="39"/>
    <w:semiHidden/>
    <w:unhideWhenUsed/>
    <w:qFormat/>
    <w:rsid w:val="00721790"/>
    <w:pPr>
      <w:keepNext/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21790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qFormat/>
    <w:rsid w:val="00721790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12744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20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051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70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0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7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80CF9CA638AACD3D104C4D935D4BE697E8C89453BE15F3AC97E7566168CA601378431E3B35252EMFXFE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9" Type="http://schemas.openxmlformats.org/officeDocument/2006/relationships/chart" Target="charts/chart24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chart" Target="charts/chart19.xml"/><Relationship Id="rId42" Type="http://schemas.openxmlformats.org/officeDocument/2006/relationships/chart" Target="charts/chart27.xm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yperlink" Target="consultantplus://offline/ref=9380CF9CA638AACD3D104C4D935D4BE697E8C89453BE15F3AC97E7566168CA601378431E3B35252EMFXFE" TargetMode="External"/><Relationship Id="rId25" Type="http://schemas.openxmlformats.org/officeDocument/2006/relationships/chart" Target="charts/chart10.xml"/><Relationship Id="rId33" Type="http://schemas.openxmlformats.org/officeDocument/2006/relationships/chart" Target="charts/chart18.xml"/><Relationship Id="rId38" Type="http://schemas.openxmlformats.org/officeDocument/2006/relationships/chart" Target="charts/chart23.xml"/><Relationship Id="rId46" Type="http://schemas.openxmlformats.org/officeDocument/2006/relationships/hyperlink" Target="http://www.consultant.ru/document/cons_doc_LAW_155046/?dst=100009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chart" Target="charts/chart14.xml"/><Relationship Id="rId41" Type="http://schemas.openxmlformats.org/officeDocument/2006/relationships/chart" Target="charts/chart2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hart" Target="charts/chart9.xml"/><Relationship Id="rId32" Type="http://schemas.openxmlformats.org/officeDocument/2006/relationships/chart" Target="charts/chart17.xml"/><Relationship Id="rId37" Type="http://schemas.openxmlformats.org/officeDocument/2006/relationships/chart" Target="charts/chart22.xml"/><Relationship Id="rId40" Type="http://schemas.openxmlformats.org/officeDocument/2006/relationships/chart" Target="charts/chart25.xml"/><Relationship Id="rId45" Type="http://schemas.openxmlformats.org/officeDocument/2006/relationships/hyperlink" Target="consultantplus://offline/ref=AAC28131A21F2385F36DF187824338D8F74586EB9C0BDC0CB6989082B4B4995D77B63E7BBB4468DBI6aFJ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chart" Target="charts/chart21.xm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165424F902132541F25477623C28C1011BE938F44C284BB30A3E2021FD45170AB35B9C280F4821821Z5L" TargetMode="External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4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80CF9CA638AACD3D104C4D935D4BE697E8C89453BE15F3AC97E7566168CA601378431E3B35252EMFXFE" TargetMode="Externa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chart" Target="charts/chart20.xml"/><Relationship Id="rId43" Type="http://schemas.openxmlformats.org/officeDocument/2006/relationships/chart" Target="charts/chart28.xm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58;&#1086;&#1087;%2010%20&#1087;&#1086;%20&#1086;&#1076;&#1085;&#1086;&#1084;&#1091;%20&#1082;&#1086;&#1085;&#1088;&#1072;&#1090;&#1082;&#1091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58;&#1086;&#1087;%2010%20&#1087;&#1086;%20&#1086;&#1076;&#1085;&#1086;&#1084;&#1091;%20&#1082;&#1086;&#1085;&#1088;&#1072;&#1090;&#1082;&#1091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3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!&#1052;&#1080;&#1085;&#1079;&#1076;&#1088;&#1072;&#1074;%20&#1085;&#1077;&#1089;&#1086;&#1089;&#109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!&#1052;&#1080;&#1085;&#1054;&#1041;&#1056;%20&#1085;&#1077;&#1089;&#1086;&#1089;&#109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!&#1052;&#1080;&#1085;&#1057;&#1086;&#1094;%20&#1085;&#1077;&#1089;&#1086;&#1089;&#109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AppData\Local\Microsoft\Windows\Temporary%20Internet%20Files\Content.IE5\5DEMWHI8\&#1053;&#1077;&#1089;&#1086;&#1089;&#1090;&#1086;&#1103;&#1074;&#1096;&#1080;&#1077;&#1089;&#1103;%20&#1094;&#1077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50;&#1086;&#1087;&#1080;&#1103;%20&#1053;&#1077;&#1089;&#1086;&#1089;&#1090;&#1086;&#1103;&#1074;&#1096;&#1080;&#1077;&#1089;&#1103;%20&#1094;&#1077;%20(1)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4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56;&#1072;&#1089;&#1090;&#1086;&#1088;&#1075;&#1085;&#1091;&#1090;&#1099;&#1077;%20&#1082;&#1086;&#1085;&#1090;&#1088;&#1072;&#1082;&#1090;&#1099;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5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44;&#1080;&#1075;&#1088;&#1072;&#1084;&#1084;&#1072;%20&#1087;&#1086;%20&#1044;&#1080;&#1085;&#1072;&#1084;&#1080;&#1082;&#1077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alekseeva\Documents\&#1040;&#1085;&#1072;&#1083;&#1080;&#1090;&#1080;&#1082;&#1072;\&#1044;&#1080;&#1075;&#1088;&#1072;&#1084;&#1084;&#1072;%20&#1087;&#1086;%20&#1044;&#1080;&#1085;&#1072;&#1084;&#1080;&#1082;&#1077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4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2016 г.</a:t>
            </a:r>
          </a:p>
        </c:rich>
      </c:tx>
      <c:overlay val="0"/>
    </c:title>
    <c:autoTitleDeleted val="0"/>
    <c:view3D>
      <c:rotX val="30"/>
      <c:rotY val="18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99392295880026E-2"/>
          <c:y val="0.19647238229299549"/>
          <c:w val="0.81959166063146216"/>
          <c:h val="0.702130404752037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dLbl>
              <c:idx val="0"/>
              <c:layout>
                <c:manualLayout>
                  <c:x val="-3.3478486422073954E-2"/>
                  <c:y val="-0.102024865312888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133108361454819"/>
                  <c:y val="-3.30891007045171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153874601291278E-2"/>
                  <c:y val="5.854952341483630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2107167783734191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39048047118022533"/>
                  <c:y val="-4.0650571750291669E-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41259.599999999999</c:v>
                </c:pt>
                <c:pt idx="1">
                  <c:v>3023.6</c:v>
                </c:pt>
                <c:pt idx="2">
                  <c:v>601.5</c:v>
                </c:pt>
                <c:pt idx="3">
                  <c:v>2088.6999999999998</c:v>
                </c:pt>
                <c:pt idx="4">
                  <c:v>268.5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сумме, млн. рублей  </a:t>
            </a:r>
          </a:p>
        </c:rich>
      </c:tx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7.056901497153735E-2"/>
          <c:y val="0.14828887114721961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6.9671523617687728E-3"/>
                  <c:y val="-1.1690623778410628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610964327133526E-3"/>
                  <c:y val="-2.892812866476797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526817868696643E-4"/>
                  <c:y val="-8.6696822471659125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2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39324</c:v>
                </c:pt>
                <c:pt idx="1">
                  <c:v>61148</c:v>
                </c:pt>
                <c:pt idx="2">
                  <c:v>41259.599999999999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8176640"/>
        <c:axId val="248178176"/>
        <c:axId val="0"/>
      </c:bar3DChart>
      <c:catAx>
        <c:axId val="2481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248178176"/>
        <c:crosses val="autoZero"/>
        <c:auto val="1"/>
        <c:lblAlgn val="ctr"/>
        <c:lblOffset val="100"/>
        <c:noMultiLvlLbl val="0"/>
      </c:catAx>
      <c:valAx>
        <c:axId val="2481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176640"/>
        <c:crosses val="autoZero"/>
        <c:crossBetween val="between"/>
      </c:valAx>
      <c:spPr>
        <a:noFill/>
        <a:ln w="25347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4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100"/>
            </a:pPr>
            <a:r>
              <a:rPr lang="ru-RU" sz="1100" dirty="0"/>
              <a:t>по </a:t>
            </a:r>
            <a:r>
              <a:rPr lang="ru-RU" sz="1100" dirty="0" smtClean="0"/>
              <a:t>количеству, шт.</a:t>
            </a:r>
            <a:endParaRPr lang="ru-RU" sz="1100" dirty="0"/>
          </a:p>
        </c:rich>
      </c:tx>
      <c:layout>
        <c:manualLayout>
          <c:xMode val="edge"/>
          <c:yMode val="edge"/>
          <c:x val="0.33293979556903214"/>
          <c:y val="0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0.11534802295830565"/>
          <c:y val="0.14828878257043093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5.4550789846921311E-3"/>
                  <c:y val="-2.826622654700913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4290278932525E-3"/>
                  <c:y val="1.444142626276519E-4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7934497318269993E-3"/>
                  <c:y val="-1.1278066224254719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5316</c:v>
                </c:pt>
                <c:pt idx="1">
                  <c:v>5835</c:v>
                </c:pt>
                <c:pt idx="2">
                  <c:v>5567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880384"/>
        <c:axId val="250881920"/>
        <c:axId val="0"/>
      </c:bar3DChart>
      <c:catAx>
        <c:axId val="25088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7" b="1"/>
            </a:pPr>
            <a:endParaRPr lang="ru-RU"/>
          </a:p>
        </c:txPr>
        <c:crossAx val="250881920"/>
        <c:crosses val="autoZero"/>
        <c:auto val="1"/>
        <c:lblAlgn val="ctr"/>
        <c:lblOffset val="100"/>
        <c:noMultiLvlLbl val="0"/>
      </c:catAx>
      <c:valAx>
        <c:axId val="25088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880384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6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 dirty="0"/>
              <a:t>по </a:t>
            </a:r>
            <a:r>
              <a:rPr lang="ru-RU" sz="1100" dirty="0" smtClean="0"/>
              <a:t>сумме , млн. рублей</a:t>
            </a:r>
            <a:endParaRPr lang="ru-RU" sz="1100" dirty="0"/>
          </a:p>
        </c:rich>
      </c:tx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7.056901497153735E-2"/>
          <c:y val="0.14828887114721961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6.9673765006178371E-3"/>
                  <c:y val="7.814143713963469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984042904820038E-3"/>
                  <c:y val="1.646209352292483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3854750114998512E-3"/>
                  <c:y val="-7.05731060725843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29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6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1027.4000000000001</c:v>
                </c:pt>
                <c:pt idx="1">
                  <c:v>681.2</c:v>
                </c:pt>
                <c:pt idx="2">
                  <c:v>601.5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913536"/>
        <c:axId val="250915072"/>
        <c:axId val="0"/>
      </c:bar3DChart>
      <c:catAx>
        <c:axId val="2509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6" b="1"/>
            </a:pPr>
            <a:endParaRPr lang="ru-RU"/>
          </a:p>
        </c:txPr>
        <c:crossAx val="250915072"/>
        <c:crosses val="autoZero"/>
        <c:auto val="1"/>
        <c:lblAlgn val="ctr"/>
        <c:lblOffset val="100"/>
        <c:noMultiLvlLbl val="0"/>
      </c:catAx>
      <c:valAx>
        <c:axId val="25091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13536"/>
        <c:crosses val="autoZero"/>
        <c:crossBetween val="between"/>
      </c:valAx>
      <c:spPr>
        <a:noFill/>
        <a:ln w="25292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5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 i="1">
                <a:latin typeface="Times New Roman" panose="02020603050405020304" pitchFamily="18" charset="0"/>
                <a:cs typeface="Times New Roman" panose="02020603050405020304" pitchFamily="18" charset="0"/>
              </a:rPr>
              <a:t>ТОП 10 заказчиков Свердловской</a:t>
            </a:r>
            <a:r>
              <a:rPr lang="ru-RU" sz="13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области по  НМЦК заявок</a:t>
            </a:r>
            <a:endParaRPr lang="ru-RU" sz="13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065400174822309"/>
          <c:y val="0"/>
        </c:manualLayout>
      </c:layout>
      <c:overlay val="0"/>
    </c:title>
    <c:autoTitleDeleted val="0"/>
    <c:view3D>
      <c:rotX val="15"/>
      <c:hPercent val="100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224691027206625"/>
          <c:y val="4.2824380767475592E-2"/>
          <c:w val="0.55775310840155679"/>
          <c:h val="0.89113026555208097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4.5090662724140168E-2"/>
                  <c:y val="-3.4526060719197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сумме'!$A$3:$A$12</c:f>
              <c:strCache>
                <c:ptCount val="10"/>
                <c:pt idx="0">
                  <c:v>ГКУ Свердловской области "Управление автомобильных дорог"</c:v>
                </c:pt>
                <c:pt idx="1">
                  <c:v>Министерство финансов Свердловской области</c:v>
                </c:pt>
                <c:pt idx="2">
                  <c:v>ГБУ СОН Свердловской области "Социально-реабилитационный центр для несовершеннолетних Тагилстроевского района города Нижний Тагил"</c:v>
                </c:pt>
                <c:pt idx="3">
                  <c:v>ГКУ  Свердловской области "УКС Свердловской области"</c:v>
                </c:pt>
                <c:pt idx="4">
                  <c:v>Министерство здравоохранения Свердловской области</c:v>
                </c:pt>
                <c:pt idx="5">
                  <c:v>ГБУ Свердловской области "Оператор электронного правительства"</c:v>
                </c:pt>
                <c:pt idx="6">
                  <c:v>Управление делами Губернатора и Правительства Свердловской области</c:v>
                </c:pt>
                <c:pt idx="7">
                  <c:v>ГБУЗ Свердловской области "Серовская городская больница"</c:v>
                </c:pt>
                <c:pt idx="8">
                  <c:v>ГБУЗ Свердловской области "НПЦ "Уральский институт кардиологии"</c:v>
                </c:pt>
                <c:pt idx="9">
                  <c:v>ГБУ СО "Редакция газеты "Областная газета"</c:v>
                </c:pt>
              </c:strCache>
            </c:strRef>
          </c:cat>
          <c:val>
            <c:numRef>
              <c:f>'по сумме'!$B$3:$B$12</c:f>
              <c:numCache>
                <c:formatCode>_(* #,##0.00_);_(* \(#,##0.00\);_(* "-"??_);_(@_)</c:formatCode>
                <c:ptCount val="10"/>
                <c:pt idx="0">
                  <c:v>4757038.4409999996</c:v>
                </c:pt>
                <c:pt idx="1">
                  <c:v>585199.45400000003</c:v>
                </c:pt>
                <c:pt idx="2">
                  <c:v>514824.53</c:v>
                </c:pt>
                <c:pt idx="3">
                  <c:v>460499.995</c:v>
                </c:pt>
                <c:pt idx="4">
                  <c:v>337824</c:v>
                </c:pt>
                <c:pt idx="5">
                  <c:v>190000</c:v>
                </c:pt>
                <c:pt idx="6">
                  <c:v>87083.334000000003</c:v>
                </c:pt>
                <c:pt idx="7">
                  <c:v>86119.2</c:v>
                </c:pt>
                <c:pt idx="8">
                  <c:v>77064.2</c:v>
                </c:pt>
                <c:pt idx="9">
                  <c:v>60930.669000000002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'по сумме'!$A$3:$A$12</c:f>
              <c:strCache>
                <c:ptCount val="10"/>
                <c:pt idx="0">
                  <c:v>ГКУ Свердловской области "Управление автомобильных дорог"</c:v>
                </c:pt>
                <c:pt idx="1">
                  <c:v>Министерство финансов Свердловской области</c:v>
                </c:pt>
                <c:pt idx="2">
                  <c:v>ГБУ СОН Свердловской области "Социально-реабилитационный центр для несовершеннолетних Тагилстроевского района города Нижний Тагил"</c:v>
                </c:pt>
                <c:pt idx="3">
                  <c:v>ГКУ  Свердловской области "УКС Свердловской области"</c:v>
                </c:pt>
                <c:pt idx="4">
                  <c:v>Министерство здравоохранения Свердловской области</c:v>
                </c:pt>
                <c:pt idx="5">
                  <c:v>ГБУ Свердловской области "Оператор электронного правительства"</c:v>
                </c:pt>
                <c:pt idx="6">
                  <c:v>Управление делами Губернатора и Правительства Свердловской области</c:v>
                </c:pt>
                <c:pt idx="7">
                  <c:v>ГБУЗ Свердловской области "Серовская городская больница"</c:v>
                </c:pt>
                <c:pt idx="8">
                  <c:v>ГБУЗ Свердловской области "НПЦ "Уральский институт кардиологии"</c:v>
                </c:pt>
                <c:pt idx="9">
                  <c:v>ГБУ СО "Редакция газеты "Областная газета"</c:v>
                </c:pt>
              </c:strCache>
            </c:strRef>
          </c:cat>
          <c:val>
            <c:numRef>
              <c:f>'по сумме'!$C$3:$C$12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5572352"/>
        <c:axId val="265573888"/>
        <c:axId val="0"/>
      </c:bar3DChart>
      <c:catAx>
        <c:axId val="265572352"/>
        <c:scaling>
          <c:orientation val="minMax"/>
        </c:scaling>
        <c:delete val="0"/>
        <c:axPos val="l"/>
        <c:majorTickMark val="none"/>
        <c:minorTickMark val="none"/>
        <c:tickLblPos val="nextTo"/>
        <c:crossAx val="265573888"/>
        <c:crosses val="autoZero"/>
        <c:auto val="0"/>
        <c:lblAlgn val="l"/>
        <c:lblOffset val="50"/>
        <c:noMultiLvlLbl val="0"/>
      </c:catAx>
      <c:valAx>
        <c:axId val="265573888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26557235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 i="1">
                <a:latin typeface="Times New Roman" panose="02020603050405020304" pitchFamily="18" charset="0"/>
                <a:cs typeface="Times New Roman" panose="02020603050405020304" pitchFamily="18" charset="0"/>
              </a:rPr>
              <a:t>ТОП 10 заказчиков Свердловской области  по количеству размещенных</a:t>
            </a:r>
          </a:p>
          <a:p>
            <a:pPr>
              <a:defRPr sz="1300"/>
            </a:pPr>
            <a:r>
              <a:rPr lang="ru-RU" sz="1300" i="1">
                <a:latin typeface="Times New Roman" panose="02020603050405020304" pitchFamily="18" charset="0"/>
                <a:cs typeface="Times New Roman" panose="02020603050405020304" pitchFamily="18" charset="0"/>
              </a:rPr>
              <a:t> извещений</a:t>
            </a:r>
          </a:p>
        </c:rich>
      </c:tx>
      <c:layout>
        <c:manualLayout>
          <c:xMode val="edge"/>
          <c:yMode val="edge"/>
          <c:x val="0.10370494094215334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420362384438814"/>
          <c:y val="6.0572988630121026E-2"/>
          <c:w val="0.46911559891877519"/>
          <c:h val="0.918169105191638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'по количеству'!$B$2</c:f>
              <c:strCache>
                <c:ptCount val="1"/>
                <c:pt idx="0">
                  <c:v>Количество размещенный извещений</c:v>
                </c:pt>
              </c:strCache>
            </c:strRef>
          </c:tx>
          <c:invertIfNegative val="0"/>
          <c:cat>
            <c:strRef>
              <c:f>'по количеству'!$A$3:$A$12</c:f>
              <c:strCache>
                <c:ptCount val="10"/>
                <c:pt idx="0">
                  <c:v>ГБУЗ Свердловской области "Свердловская областная клиническая больница № 1"</c:v>
                </c:pt>
                <c:pt idx="1">
                  <c:v>ГБУЗ Свердловской области "Свердловская областная клиническая психиатрическая больница"</c:v>
                </c:pt>
                <c:pt idx="2">
                  <c:v>ГБУЗ Свердловской области "Областная детская клиническая больница №1"</c:v>
                </c:pt>
                <c:pt idx="3">
                  <c:v>Министерство здравоохранения Свердловской области</c:v>
                </c:pt>
                <c:pt idx="4">
                  <c:v>ГБУЗ Свердловской области "Свердловский областной онкологический диспансер"</c:v>
                </c:pt>
                <c:pt idx="5">
                  <c:v>ГБУЗ  Свердловской области "Противотуберкулезный диспансер"</c:v>
                </c:pt>
                <c:pt idx="6">
                  <c:v>ГБУЗ Свердловской области "Демидовская городская больница"</c:v>
                </c:pt>
                <c:pt idx="7">
                  <c:v>ГБУЗ  Свердловской области "Городская больница № 4 город Нижний Тагил"</c:v>
                </c:pt>
                <c:pt idx="8">
                  <c:v>ГКУЗ Свердловской области "Специализированный дом ребенка"</c:v>
                </c:pt>
                <c:pt idx="9">
                  <c:v>ГБУЗ Свердловской области "Городская больница № 1 город Нижний Тагил"</c:v>
                </c:pt>
              </c:strCache>
            </c:strRef>
          </c:cat>
          <c:val>
            <c:numRef>
              <c:f>'по количеству'!$B$3:$B$12</c:f>
              <c:numCache>
                <c:formatCode>General</c:formatCode>
                <c:ptCount val="10"/>
                <c:pt idx="0">
                  <c:v>1485</c:v>
                </c:pt>
                <c:pt idx="1">
                  <c:v>1179</c:v>
                </c:pt>
                <c:pt idx="2">
                  <c:v>1094</c:v>
                </c:pt>
                <c:pt idx="3">
                  <c:v>1080</c:v>
                </c:pt>
                <c:pt idx="4">
                  <c:v>1041</c:v>
                </c:pt>
                <c:pt idx="5">
                  <c:v>985</c:v>
                </c:pt>
                <c:pt idx="6">
                  <c:v>709</c:v>
                </c:pt>
                <c:pt idx="7">
                  <c:v>629</c:v>
                </c:pt>
                <c:pt idx="8">
                  <c:v>590</c:v>
                </c:pt>
                <c:pt idx="9">
                  <c:v>574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7558656"/>
        <c:axId val="307625984"/>
        <c:axId val="0"/>
      </c:bar3DChart>
      <c:catAx>
        <c:axId val="307558656"/>
        <c:scaling>
          <c:orientation val="minMax"/>
        </c:scaling>
        <c:delete val="0"/>
        <c:axPos val="l"/>
        <c:majorTickMark val="none"/>
        <c:minorTickMark val="none"/>
        <c:tickLblPos val="nextTo"/>
        <c:crossAx val="307625984"/>
        <c:crosses val="autoZero"/>
        <c:auto val="1"/>
        <c:lblAlgn val="ctr"/>
        <c:lblOffset val="100"/>
        <c:noMultiLvlLbl val="0"/>
      </c:catAx>
      <c:valAx>
        <c:axId val="307625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75586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1574074074074074"/>
                  <c:y val="-0.27753747770568604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котировок
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40%</a:t>
                    </a:r>
                  </a:p>
                  <a:p>
                    <a:r>
                      <a:rPr lang="ru-RU" sz="10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301,12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10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млрд.рублей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46402954107012362"/>
                  <c:y val="0.14690404523331499"/>
                </c:manualLayout>
              </c:layout>
              <c:tx>
                <c:rich>
                  <a:bodyPr/>
                  <a:lstStyle/>
                  <a:p>
                    <a:r>
                      <a:rPr lang="ru-RU" sz="9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предложений
</a:t>
                    </a:r>
                    <a:r>
                      <a:rPr lang="ru-RU" sz="95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0,001%</a:t>
                    </a:r>
                  </a:p>
                  <a:p>
                    <a:r>
                      <a:rPr lang="ru-RU" sz="95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21,75</a:t>
                    </a:r>
                    <a:r>
                      <a:rPr lang="ru-RU" sz="95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млн.рублей</a:t>
                    </a:r>
                    <a:endParaRPr lang="ru-RU" sz="95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6680412710273349"/>
                  <c:y val="-0.17989589450479174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Конкурс с ограниченным участием
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0,001%</a:t>
                    </a:r>
                  </a:p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41,105 млн.рублей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6898129921259841"/>
                  <c:y val="9.5155706641949486E-2"/>
                </c:manualLayout>
              </c:layout>
              <c:tx>
                <c:rich>
                  <a:bodyPr/>
                  <a:lstStyle/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Открытый конкурс
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1% </a:t>
                    </a:r>
                  </a:p>
                  <a:p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1410,6 млн.рублей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6666666666666669"/>
                  <c:y val="-0.3171856888064983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Электронный аукцион
</a:t>
                    </a:r>
                    <a:r>
                      <a:rPr lang="ru-RU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59%</a:t>
                    </a:r>
                  </a:p>
                  <a:p>
                    <a:pPr>
                      <a:defRPr sz="8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6382,03 млрд.рублей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Запрос котировок</c:v>
                </c:pt>
                <c:pt idx="1">
                  <c:v>Запрос предложений</c:v>
                </c:pt>
                <c:pt idx="2">
                  <c:v>Конкурс с ограниченным участием</c:v>
                </c:pt>
                <c:pt idx="3">
                  <c:v>Открытый конкурс</c:v>
                </c:pt>
                <c:pt idx="4">
                  <c:v>Электронный аукцион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3219</c:v>
                </c:pt>
                <c:pt idx="1">
                  <c:v>12</c:v>
                </c:pt>
                <c:pt idx="2">
                  <c:v>6</c:v>
                </c:pt>
                <c:pt idx="3">
                  <c:v>79</c:v>
                </c:pt>
                <c:pt idx="4">
                  <c:v>4839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4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</a:t>
            </a:r>
            <a:r>
              <a:rPr lang="ru-RU" sz="12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несостяшихся закупок </a:t>
            </a: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Министерства </a:t>
            </a:r>
            <a:r>
              <a:rPr lang="ru-RU" sz="12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здравоохранения Свердловской области</a:t>
            </a:r>
            <a:endParaRPr lang="ru-RU" sz="12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6395717205425"/>
          <c:y val="0.27957044746911941"/>
          <c:w val="0.51315020220549745"/>
          <c:h val="0.588385223363231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'Несостоявшиеся цен'!$A$3</c:f>
              <c:strCache>
                <c:ptCount val="1"/>
                <c:pt idx="0">
                  <c:v>Электронный аукцион</c:v>
                </c:pt>
              </c:strCache>
            </c:strRef>
          </c:tx>
          <c:invertIfNegative val="0"/>
          <c:cat>
            <c:strRef>
              <c:f>'Несостоявшиеся цен'!$B$2:$G$2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'Несостоявшиеся цен'!$B$3:$G$3</c:f>
              <c:numCache>
                <c:formatCode>#,##0</c:formatCode>
                <c:ptCount val="6"/>
                <c:pt idx="0" formatCode="@">
                  <c:v>0</c:v>
                </c:pt>
                <c:pt idx="1">
                  <c:v>30</c:v>
                </c:pt>
                <c:pt idx="2">
                  <c:v>3</c:v>
                </c:pt>
                <c:pt idx="3">
                  <c:v>73</c:v>
                </c:pt>
                <c:pt idx="4">
                  <c:v>55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'Несостоявшиеся цен'!$A$4</c:f>
              <c:strCache>
                <c:ptCount val="1"/>
                <c:pt idx="0">
                  <c:v>Запрос котировок</c:v>
                </c:pt>
              </c:strCache>
            </c:strRef>
          </c:tx>
          <c:invertIfNegative val="0"/>
          <c:cat>
            <c:strRef>
              <c:f>'Несостоявшиеся цен'!$B$2:$G$2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'Несостоявшиеся цен'!$B$4:$G$4</c:f>
              <c:numCache>
                <c:formatCode>General</c:formatCode>
                <c:ptCount val="6"/>
                <c:pt idx="0">
                  <c:v>0</c:v>
                </c:pt>
                <c:pt idx="1">
                  <c:v>14</c:v>
                </c:pt>
                <c:pt idx="2">
                  <c:v>1</c:v>
                </c:pt>
                <c:pt idx="3">
                  <c:v>18</c:v>
                </c:pt>
                <c:pt idx="5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07766016"/>
        <c:axId val="307767552"/>
        <c:axId val="0"/>
      </c:bar3DChart>
      <c:catAx>
        <c:axId val="307766016"/>
        <c:scaling>
          <c:orientation val="minMax"/>
        </c:scaling>
        <c:delete val="0"/>
        <c:axPos val="l"/>
        <c:majorTickMark val="none"/>
        <c:minorTickMark val="none"/>
        <c:tickLblPos val="nextTo"/>
        <c:crossAx val="307767552"/>
        <c:crosses val="autoZero"/>
        <c:auto val="1"/>
        <c:lblAlgn val="ctr"/>
        <c:lblOffset val="100"/>
        <c:noMultiLvlLbl val="0"/>
      </c:catAx>
      <c:valAx>
        <c:axId val="307767552"/>
        <c:scaling>
          <c:orientation val="minMax"/>
        </c:scaling>
        <c:delete val="1"/>
        <c:axPos val="b"/>
        <c:numFmt formatCode="@" sourceLinked="1"/>
        <c:majorTickMark val="out"/>
        <c:minorTickMark val="none"/>
        <c:tickLblPos val="nextTo"/>
        <c:crossAx val="3077660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823743848264332"/>
          <c:y val="0.20257611241217799"/>
          <c:w val="0.52152527256498626"/>
          <c:h val="0.105849313843609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 несостявшихся закупок Министертва образования Свердловской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области</a:t>
            </a:r>
            <a:endParaRPr lang="ru-RU" sz="1400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Sheet1!$A$23</c:f>
              <c:strCache>
                <c:ptCount val="1"/>
                <c:pt idx="0">
                  <c:v>Запрос котировок</c:v>
                </c:pt>
              </c:strCache>
            </c:strRef>
          </c:tx>
          <c:invertIfNegative val="0"/>
          <c:cat>
            <c:strRef>
              <c:f>Sheet1!$B$22:$H$22</c:f>
              <c:strCache>
                <c:ptCount val="7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6">
                  <c:v>Подана одна заявка</c:v>
                </c:pt>
              </c:strCache>
            </c:strRef>
          </c:cat>
          <c:val>
            <c:numRef>
              <c:f>Sheet1!$B$23:$H$23</c:f>
              <c:numCache>
                <c:formatCode>General</c:formatCode>
                <c:ptCount val="7"/>
                <c:pt idx="2" formatCode="#0">
                  <c:v>1</c:v>
                </c:pt>
                <c:pt idx="3" formatCode="#0">
                  <c:v>9</c:v>
                </c:pt>
                <c:pt idx="4">
                  <c:v>0</c:v>
                </c:pt>
                <c:pt idx="6" formatCode="#0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Sheet1!$A$24</c:f>
              <c:strCache>
                <c:ptCount val="1"/>
                <c:pt idx="0">
                  <c:v>Конкурс с ограниченным участием</c:v>
                </c:pt>
              </c:strCache>
            </c:strRef>
          </c:tx>
          <c:invertIfNegative val="0"/>
          <c:cat>
            <c:strRef>
              <c:f>Sheet1!$B$22:$H$22</c:f>
              <c:strCache>
                <c:ptCount val="7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6">
                  <c:v>Подана одна заявка</c:v>
                </c:pt>
              </c:strCache>
            </c:strRef>
          </c:cat>
          <c:val>
            <c:numRef>
              <c:f>Sheet1!$B$24:$H$24</c:f>
              <c:numCache>
                <c:formatCode>General</c:formatCode>
                <c:ptCount val="7"/>
                <c:pt idx="2" formatCode="#0">
                  <c:v>1</c:v>
                </c:pt>
                <c:pt idx="4">
                  <c:v>0</c:v>
                </c:pt>
                <c:pt idx="6" formatCode="#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Sheet1!$A$25</c:f>
              <c:strCache>
                <c:ptCount val="1"/>
                <c:pt idx="0">
                  <c:v>Электронный аукцион</c:v>
                </c:pt>
              </c:strCache>
            </c:strRef>
          </c:tx>
          <c:invertIfNegative val="0"/>
          <c:cat>
            <c:strRef>
              <c:f>Sheet1!$B$22:$H$22</c:f>
              <c:strCache>
                <c:ptCount val="7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6">
                  <c:v>Подана одна заявка</c:v>
                </c:pt>
              </c:strCache>
            </c:strRef>
          </c:cat>
          <c:val>
            <c:numRef>
              <c:f>Sheet1!$B$25:$H$25</c:f>
              <c:numCache>
                <c:formatCode>#0</c:formatCode>
                <c:ptCount val="7"/>
                <c:pt idx="0">
                  <c:v>4</c:v>
                </c:pt>
                <c:pt idx="1">
                  <c:v>3</c:v>
                </c:pt>
                <c:pt idx="3">
                  <c:v>11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07816320"/>
        <c:axId val="307817856"/>
        <c:axId val="0"/>
      </c:bar3DChart>
      <c:catAx>
        <c:axId val="307816320"/>
        <c:scaling>
          <c:orientation val="minMax"/>
        </c:scaling>
        <c:delete val="0"/>
        <c:axPos val="l"/>
        <c:majorTickMark val="none"/>
        <c:minorTickMark val="none"/>
        <c:tickLblPos val="nextTo"/>
        <c:crossAx val="307817856"/>
        <c:crosses val="autoZero"/>
        <c:auto val="1"/>
        <c:lblAlgn val="ctr"/>
        <c:lblOffset val="100"/>
        <c:noMultiLvlLbl val="0"/>
      </c:catAx>
      <c:valAx>
        <c:axId val="307817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078163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 несостявшихся закупок Министертсва социальной политки Свердловской области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Запрос котировок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Лист1!$B$3:$G$3</c:f>
              <c:numCache>
                <c:formatCode>#,##0</c:formatCode>
                <c:ptCount val="6"/>
                <c:pt idx="1">
                  <c:v>5</c:v>
                </c:pt>
                <c:pt idx="2">
                  <c:v>2</c:v>
                </c:pt>
                <c:pt idx="3">
                  <c:v>19</c:v>
                </c:pt>
                <c:pt idx="5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Электронный аукцион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Лист1!$B$4:$G$4</c:f>
              <c:numCache>
                <c:formatCode>#,##0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4</c:v>
                </c:pt>
                <c:pt idx="3">
                  <c:v>30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07853184"/>
        <c:axId val="307854720"/>
        <c:axId val="0"/>
      </c:bar3DChart>
      <c:catAx>
        <c:axId val="307853184"/>
        <c:scaling>
          <c:orientation val="minMax"/>
        </c:scaling>
        <c:delete val="0"/>
        <c:axPos val="l"/>
        <c:majorTickMark val="none"/>
        <c:minorTickMark val="none"/>
        <c:tickLblPos val="nextTo"/>
        <c:crossAx val="307854720"/>
        <c:crosses val="autoZero"/>
        <c:auto val="1"/>
        <c:lblAlgn val="ctr"/>
        <c:lblOffset val="100"/>
        <c:noMultiLvlLbl val="0"/>
      </c:catAx>
      <c:valAx>
        <c:axId val="307854720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extTo"/>
        <c:crossAx val="3078531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3942712156872"/>
          <c:y val="2.4458804585076144E-2"/>
          <c:w val="0.85807700495182471"/>
          <c:h val="0.66141505762427277"/>
        </c:manualLayout>
      </c:layout>
      <c:bar3DChart>
        <c:barDir val="col"/>
        <c:grouping val="stacked"/>
        <c:varyColors val="0"/>
        <c:ser>
          <c:idx val="4"/>
          <c:order val="0"/>
          <c:tx>
            <c:strRef>
              <c:f>'[Несостоявшиеся це (1).xlsx]Sheet1'!$A$27</c:f>
              <c:strCache>
                <c:ptCount val="1"/>
                <c:pt idx="0">
                  <c:v>Электронный аукцион</c:v>
                </c:pt>
              </c:strCache>
            </c:strRef>
          </c:tx>
          <c:invertIfNegative val="0"/>
          <c:cat>
            <c:strRef>
              <c:f>'[Несостоявшиеся це (1).xlsx]Sheet1'!$B$22:$G$22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'[Несостоявшиеся це (1).xlsx]Sheet1'!$B$27:$G$27</c:f>
              <c:numCache>
                <c:formatCode>#,##0</c:formatCode>
                <c:ptCount val="6"/>
                <c:pt idx="0">
                  <c:v>87592241.069999993</c:v>
                </c:pt>
                <c:pt idx="1">
                  <c:v>1260432005.28</c:v>
                </c:pt>
                <c:pt idx="2">
                  <c:v>153793993.31999999</c:v>
                </c:pt>
                <c:pt idx="3">
                  <c:v>1425932171.1300001</c:v>
                </c:pt>
                <c:pt idx="4">
                  <c:v>3454283793.6900001</c:v>
                </c:pt>
              </c:numCache>
            </c:numRef>
          </c:val>
        </c:ser>
        <c:ser>
          <c:idx val="0"/>
          <c:order val="1"/>
          <c:tx>
            <c:strRef>
              <c:f>'[Несостоявшиеся це (1).xlsx]Sheet1'!$A$23</c:f>
              <c:strCache>
                <c:ptCount val="1"/>
                <c:pt idx="0">
                  <c:v>Запрос котировок</c:v>
                </c:pt>
              </c:strCache>
            </c:strRef>
          </c:tx>
          <c:invertIfNegative val="0"/>
          <c:cat>
            <c:strRef>
              <c:f>'[Несостоявшиеся це (1).xlsx]Sheet1'!$B$22:$G$22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'[Несостоявшиеся це (1).xlsx]Sheet1'!$B$23:$G$23</c:f>
              <c:numCache>
                <c:formatCode>#,##0</c:formatCode>
                <c:ptCount val="6"/>
                <c:pt idx="1">
                  <c:v>27558613.5</c:v>
                </c:pt>
                <c:pt idx="2">
                  <c:v>4626253.95</c:v>
                </c:pt>
                <c:pt idx="3">
                  <c:v>29917057.82</c:v>
                </c:pt>
                <c:pt idx="4" formatCode="General">
                  <c:v>0</c:v>
                </c:pt>
                <c:pt idx="5">
                  <c:v>239022506.91999999</c:v>
                </c:pt>
              </c:numCache>
            </c:numRef>
          </c:val>
        </c:ser>
        <c:ser>
          <c:idx val="1"/>
          <c:order val="2"/>
          <c:tx>
            <c:strRef>
              <c:f>'[Несостоявшиеся це (1).xlsx]Sheet1'!$A$24</c:f>
              <c:strCache>
                <c:ptCount val="1"/>
                <c:pt idx="0">
                  <c:v>Запрос предложений</c:v>
                </c:pt>
              </c:strCache>
            </c:strRef>
          </c:tx>
          <c:invertIfNegative val="0"/>
          <c:cat>
            <c:strRef>
              <c:f>'[Несостоявшиеся це (1).xlsx]Sheet1'!$B$22:$G$22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'[Несостоявшиеся це (1).xlsx]Sheet1'!$B$24:$G$24</c:f>
              <c:numCache>
                <c:formatCode>General</c:formatCode>
                <c:ptCount val="6"/>
                <c:pt idx="3" formatCode="#,##0">
                  <c:v>9669276.0099999998</c:v>
                </c:pt>
                <c:pt idx="4">
                  <c:v>0</c:v>
                </c:pt>
                <c:pt idx="5" formatCode="#,##0">
                  <c:v>12079258.34</c:v>
                </c:pt>
              </c:numCache>
            </c:numRef>
          </c:val>
        </c:ser>
        <c:ser>
          <c:idx val="2"/>
          <c:order val="3"/>
          <c:tx>
            <c:strRef>
              <c:f>'[Несостоявшиеся це (1).xlsx]Sheet1'!$A$25</c:f>
              <c:strCache>
                <c:ptCount val="1"/>
                <c:pt idx="0">
                  <c:v>Конкурс с ограниченным участием</c:v>
                </c:pt>
              </c:strCache>
            </c:strRef>
          </c:tx>
          <c:invertIfNegative val="0"/>
          <c:cat>
            <c:strRef>
              <c:f>'[Несостоявшиеся це (1).xlsx]Sheet1'!$B$22:$G$22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'[Несостоявшиеся це (1).xlsx]Sheet1'!$B$25:$G$25</c:f>
              <c:numCache>
                <c:formatCode>General</c:formatCode>
                <c:ptCount val="6"/>
                <c:pt idx="2" formatCode="#,##0">
                  <c:v>14673425.1</c:v>
                </c:pt>
                <c:pt idx="4">
                  <c:v>0</c:v>
                </c:pt>
                <c:pt idx="5" formatCode="#,##0">
                  <c:v>26432526.199999999</c:v>
                </c:pt>
              </c:numCache>
            </c:numRef>
          </c:val>
        </c:ser>
        <c:ser>
          <c:idx val="3"/>
          <c:order val="4"/>
          <c:tx>
            <c:strRef>
              <c:f>'[Несостоявшиеся це (1).xlsx]Sheet1'!$A$26</c:f>
              <c:strCache>
                <c:ptCount val="1"/>
                <c:pt idx="0">
                  <c:v>Открытый конкурс</c:v>
                </c:pt>
              </c:strCache>
            </c:strRef>
          </c:tx>
          <c:invertIfNegative val="0"/>
          <c:cat>
            <c:strRef>
              <c:f>'[Несостоявшиеся це (1).xlsx]Sheet1'!$B$22:$G$22</c:f>
              <c:strCache>
                <c:ptCount val="6"/>
                <c:pt idx="0">
                  <c:v>Отсутствие участников при проведении аукциона</c:v>
                </c:pt>
                <c:pt idx="1">
                  <c:v>Допущена одна заявка</c:v>
                </c:pt>
                <c:pt idx="2">
                  <c:v>Не допущено ни одной заявки</c:v>
                </c:pt>
                <c:pt idx="3">
                  <c:v>Не подано ни одной заявки</c:v>
                </c:pt>
                <c:pt idx="4">
                  <c:v>Несоответствие вторых частей заявок в аукционе</c:v>
                </c:pt>
                <c:pt idx="5">
                  <c:v>Подана одна заявка</c:v>
                </c:pt>
              </c:strCache>
            </c:strRef>
          </c:cat>
          <c:val>
            <c:numRef>
              <c:f>'[Несостоявшиеся це (1).xlsx]Sheet1'!$B$26:$G$26</c:f>
              <c:numCache>
                <c:formatCode>#,##0</c:formatCode>
                <c:ptCount val="6"/>
                <c:pt idx="1">
                  <c:v>28759133.879999999</c:v>
                </c:pt>
                <c:pt idx="2">
                  <c:v>227639938.91999999</c:v>
                </c:pt>
                <c:pt idx="3">
                  <c:v>4813267.33</c:v>
                </c:pt>
                <c:pt idx="4" formatCode="General">
                  <c:v>0</c:v>
                </c:pt>
                <c:pt idx="5">
                  <c:v>1149380791.46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7919872"/>
        <c:axId val="307929856"/>
        <c:axId val="0"/>
      </c:bar3DChart>
      <c:catAx>
        <c:axId val="30791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50" baseline="0"/>
            </a:pPr>
            <a:endParaRPr lang="ru-RU"/>
          </a:p>
        </c:txPr>
        <c:crossAx val="307929856"/>
        <c:crosses val="autoZero"/>
        <c:auto val="1"/>
        <c:lblAlgn val="ctr"/>
        <c:lblOffset val="100"/>
        <c:noMultiLvlLbl val="0"/>
      </c:catAx>
      <c:valAx>
        <c:axId val="3079298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07919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3444223727353228E-2"/>
          <c:y val="0.88072511911403895"/>
          <c:w val="0.93722454905902719"/>
          <c:h val="0.10328079494200106"/>
        </c:manualLayout>
      </c:layout>
      <c:overlay val="0"/>
      <c:txPr>
        <a:bodyPr/>
        <a:lstStyle/>
        <a:p>
          <a:pPr>
            <a:defRPr sz="900" baseline="0"/>
          </a:pPr>
          <a:endParaRPr lang="ru-RU"/>
        </a:p>
      </c:txPr>
    </c:legend>
    <c:plotVisOnly val="0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2016 г.</a:t>
            </a:r>
          </a:p>
        </c:rich>
      </c:tx>
      <c:overlay val="0"/>
    </c:title>
    <c:autoTitleDeleted val="0"/>
    <c:view3D>
      <c:rotX val="30"/>
      <c:rotY val="2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85309950921843"/>
          <c:y val="0.26163903194449473"/>
          <c:w val="0.83217386905865898"/>
          <c:h val="0.733832020997375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-0.15682454040140056"/>
                  <c:y val="9.9024306744267322E-4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Аукционы 29100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023745693458555E-3"/>
                  <c:y val="0.11560595686408764"/>
                </c:manualLayout>
              </c:layout>
              <c:tx>
                <c:rich>
                  <a:bodyPr rot="0"/>
                  <a:lstStyle/>
                  <a:p>
                    <a:pPr>
                      <a:defRPr sz="100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/>
                      <a:t>Единственный поставщик 3744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9981453067831294E-2"/>
                  <c:y val="2.5817927650348054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Запрос котировок 5567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765083433093347"/>
                  <c:y val="0.11755506105215109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Конкурсы 197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9278187121684734"/>
                  <c:y val="-1.403714481342006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Запрос предложений 31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Аукционы</c:v>
                </c:pt>
                <c:pt idx="1">
                  <c:v>Единственный поставщик</c:v>
                </c:pt>
                <c:pt idx="2">
                  <c:v>Запрос котировок</c:v>
                </c:pt>
                <c:pt idx="3">
                  <c:v>Конкурсы</c:v>
                </c:pt>
                <c:pt idx="4">
                  <c:v>Запрос предложений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29100</c:v>
                </c:pt>
                <c:pt idx="1">
                  <c:v>3744</c:v>
                </c:pt>
                <c:pt idx="2">
                  <c:v>5567</c:v>
                </c:pt>
                <c:pt idx="3">
                  <c:v>197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511757504887542E-2"/>
          <c:y val="1.7607728116430653E-2"/>
          <c:w val="0.90878661087866108"/>
          <c:h val="0.6833982068771707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Sheet1!$B$22</c:f>
              <c:strCache>
                <c:ptCount val="1"/>
                <c:pt idx="0">
                  <c:v>Отсутствие участников при проведении аукциона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Sheet1!$B$23:$B$27</c:f>
              <c:numCache>
                <c:formatCode>General</c:formatCode>
                <c:ptCount val="5"/>
                <c:pt idx="4" formatCode="#,##0">
                  <c:v>87592241.069999993</c:v>
                </c:pt>
              </c:numCache>
            </c:numRef>
          </c:val>
        </c:ser>
        <c:ser>
          <c:idx val="1"/>
          <c:order val="1"/>
          <c:tx>
            <c:strRef>
              <c:f>Sheet1!$C$22</c:f>
              <c:strCache>
                <c:ptCount val="1"/>
                <c:pt idx="0">
                  <c:v>Допущена одна заявка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Sheet1!$C$23:$C$27</c:f>
              <c:numCache>
                <c:formatCode>General</c:formatCode>
                <c:ptCount val="5"/>
                <c:pt idx="0" formatCode="#,##0">
                  <c:v>27558613.5</c:v>
                </c:pt>
                <c:pt idx="3" formatCode="#,##0">
                  <c:v>28759133.879999999</c:v>
                </c:pt>
                <c:pt idx="4" formatCode="#,##0">
                  <c:v>1260432005.28</c:v>
                </c:pt>
              </c:numCache>
            </c:numRef>
          </c:val>
        </c:ser>
        <c:ser>
          <c:idx val="2"/>
          <c:order val="2"/>
          <c:tx>
            <c:strRef>
              <c:f>Sheet1!$D$22</c:f>
              <c:strCache>
                <c:ptCount val="1"/>
                <c:pt idx="0">
                  <c:v>Не допущено ни одной заявки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Sheet1!$D$23:$D$27</c:f>
              <c:numCache>
                <c:formatCode>General</c:formatCode>
                <c:ptCount val="5"/>
                <c:pt idx="0" formatCode="#,##0">
                  <c:v>4626253.95</c:v>
                </c:pt>
                <c:pt idx="2" formatCode="#,##0">
                  <c:v>14673425.1</c:v>
                </c:pt>
                <c:pt idx="3" formatCode="#,##0">
                  <c:v>227639938.91999999</c:v>
                </c:pt>
                <c:pt idx="4" formatCode="#,##0">
                  <c:v>153793993.31999999</c:v>
                </c:pt>
              </c:numCache>
            </c:numRef>
          </c:val>
        </c:ser>
        <c:ser>
          <c:idx val="3"/>
          <c:order val="3"/>
          <c:tx>
            <c:strRef>
              <c:f>Sheet1!$E$22</c:f>
              <c:strCache>
                <c:ptCount val="1"/>
                <c:pt idx="0">
                  <c:v>Не подано ни одной заявки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Sheet1!$E$23:$E$27</c:f>
              <c:numCache>
                <c:formatCode>#,##0</c:formatCode>
                <c:ptCount val="5"/>
                <c:pt idx="0">
                  <c:v>29917057.82</c:v>
                </c:pt>
                <c:pt idx="1">
                  <c:v>9669276.0099999998</c:v>
                </c:pt>
                <c:pt idx="3">
                  <c:v>4813267.33</c:v>
                </c:pt>
                <c:pt idx="4">
                  <c:v>1425932171.1300001</c:v>
                </c:pt>
              </c:numCache>
            </c:numRef>
          </c:val>
        </c:ser>
        <c:ser>
          <c:idx val="4"/>
          <c:order val="4"/>
          <c:tx>
            <c:strRef>
              <c:f>Sheet1!$F$22</c:f>
              <c:strCache>
                <c:ptCount val="1"/>
                <c:pt idx="0">
                  <c:v>Несоответствие вторых частей заявок в аукционе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Sheet1!$F$23:$F$27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3454283793.6900001</c:v>
                </c:pt>
              </c:numCache>
            </c:numRef>
          </c:val>
        </c:ser>
        <c:ser>
          <c:idx val="5"/>
          <c:order val="5"/>
          <c:tx>
            <c:strRef>
              <c:f>Sheet1!$G$22</c:f>
              <c:strCache>
                <c:ptCount val="1"/>
                <c:pt idx="0">
                  <c:v>Подана одна заявка</c:v>
                </c:pt>
              </c:strCache>
            </c:strRef>
          </c:tx>
          <c:invertIfNegative val="0"/>
          <c:cat>
            <c:strRef>
              <c:f>Sheet1!$A$23:$A$27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предложений</c:v>
                </c:pt>
                <c:pt idx="4">
                  <c:v>Запрос котировок</c:v>
                </c:pt>
              </c:strCache>
            </c:strRef>
          </c:cat>
          <c:val>
            <c:numRef>
              <c:f>Sheet1!$G$23:$G$27</c:f>
              <c:numCache>
                <c:formatCode>#,##0</c:formatCode>
                <c:ptCount val="5"/>
                <c:pt idx="0">
                  <c:v>239022506.91999999</c:v>
                </c:pt>
                <c:pt idx="1">
                  <c:v>12079258.34</c:v>
                </c:pt>
                <c:pt idx="2">
                  <c:v>26432526.199999999</c:v>
                </c:pt>
                <c:pt idx="3">
                  <c:v>1149380791.46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7954432"/>
        <c:axId val="307955968"/>
        <c:axId val="0"/>
      </c:bar3DChart>
      <c:catAx>
        <c:axId val="30795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307955968"/>
        <c:crosses val="autoZero"/>
        <c:auto val="1"/>
        <c:lblAlgn val="ctr"/>
        <c:lblOffset val="100"/>
        <c:noMultiLvlLbl val="0"/>
      </c:catAx>
      <c:valAx>
        <c:axId val="30795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07954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3968444916592292E-2"/>
          <c:y val="0.81757110631116647"/>
          <c:w val="0.90704132247000158"/>
          <c:h val="0.1637974582027462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10576868207619"/>
          <c:y val="0.11384154576943926"/>
          <c:w val="0.34758722327023478"/>
          <c:h val="0.7723169084611214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заключенных контрактов</c:v>
                </c:pt>
              </c:strCache>
            </c:strRef>
          </c:tx>
          <c:dLbls>
            <c:dLbl>
              <c:idx val="0"/>
              <c:layout>
                <c:manualLayout>
                  <c:x val="-0.19745426987603962"/>
                  <c:y val="-0.1120332285691605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Конкурсы
173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сумму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1 661,9 млн.рублей</a:t>
                    </a:r>
                  </a:p>
                  <a:p>
                    <a:endParaRPr lang="ru-RU" sz="9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534829255900144"/>
                  <c:y val="-7.0117972174319781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Закупка у единственного поставщика (исполнителя, подрядчика)
4018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сумму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2517,8 млн.рублей</a:t>
                    </a:r>
                  </a:p>
                  <a:p>
                    <a:endParaRPr lang="ru-RU" sz="9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2142529660324532"/>
                  <c:y val="6.540419280392587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котировок
4784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сумму 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466,9 млн.рублей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3233271431416227"/>
                  <c:y val="0.19665310911854889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Запрос предложений
26 на сумму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255,6 млн.рублей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9954933110865739"/>
                  <c:y val="8.873471535799652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Электронный аукцион
25 790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на сумму</a:t>
                    </a:r>
                  </a:p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30 333,1 млн.рублей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 rot="0" vert="horz" anchor="ctr" anchorCtr="0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Конкурсы</c:v>
                </c:pt>
                <c:pt idx="1">
                  <c:v>Закупка у единственного поставщика (исполнителя, подрядчика)</c:v>
                </c:pt>
                <c:pt idx="2">
                  <c:v>Запрос котировок</c:v>
                </c:pt>
                <c:pt idx="3">
                  <c:v>Запрос предложений</c:v>
                </c:pt>
                <c:pt idx="4">
                  <c:v>Электронный аукцион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173</c:v>
                </c:pt>
                <c:pt idx="1">
                  <c:v>4021</c:v>
                </c:pt>
                <c:pt idx="2">
                  <c:v>4784</c:v>
                </c:pt>
                <c:pt idx="3">
                  <c:v>26</c:v>
                </c:pt>
                <c:pt idx="4">
                  <c:v>25790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0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 i="1">
                <a:latin typeface="Times New Roman" panose="02020603050405020304" pitchFamily="18" charset="0"/>
                <a:cs typeface="Times New Roman" panose="02020603050405020304" pitchFamily="18" charset="0"/>
              </a:rPr>
              <a:t>Общая статистика по расторгнутым контрактам</a:t>
            </a:r>
          </a:p>
        </c:rich>
      </c:tx>
      <c:layout>
        <c:manualLayout>
          <c:xMode val="edge"/>
          <c:yMode val="edge"/>
          <c:x val="0.12670052234017226"/>
          <c:y val="1.631099633002582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'Статистика по кон'!$B$1</c:f>
              <c:strCache>
                <c:ptCount val="1"/>
                <c:pt idx="0">
                  <c:v>Односторонний отказ заказчика от исполнения контракта в соответствии с гражданским законодательством</c:v>
                </c:pt>
              </c:strCache>
            </c:strRef>
          </c:tx>
          <c:invertIfNegative val="0"/>
          <c:cat>
            <c:strRef>
              <c:f>'Статистика по кон'!$A$2:$A$7</c:f>
              <c:strCache>
                <c:ptCount val="6"/>
                <c:pt idx="0">
                  <c:v>Закупка у единственного поставщика (исполнителя, подрядчика)</c:v>
                </c:pt>
                <c:pt idx="1">
                  <c:v>Запрос котировок</c:v>
                </c:pt>
                <c:pt idx="2">
                  <c:v>Запрос предложений</c:v>
                </c:pt>
                <c:pt idx="3">
                  <c:v>Конкурс с ограниченным участием</c:v>
                </c:pt>
                <c:pt idx="4">
                  <c:v>Открытый конкурс</c:v>
                </c:pt>
                <c:pt idx="5">
                  <c:v>Электронный аукцион</c:v>
                </c:pt>
              </c:strCache>
            </c:strRef>
          </c:cat>
          <c:val>
            <c:numRef>
              <c:f>'Статистика по кон'!$B$2:$B$7</c:f>
              <c:numCache>
                <c:formatCode>#,##0</c:formatCode>
                <c:ptCount val="6"/>
                <c:pt idx="0">
                  <c:v>282693</c:v>
                </c:pt>
                <c:pt idx="1">
                  <c:v>1951428</c:v>
                </c:pt>
                <c:pt idx="5">
                  <c:v>89872251</c:v>
                </c:pt>
              </c:numCache>
            </c:numRef>
          </c:val>
        </c:ser>
        <c:ser>
          <c:idx val="1"/>
          <c:order val="1"/>
          <c:tx>
            <c:strRef>
              <c:f>'Статистика по кон'!$C$1</c:f>
              <c:strCache>
                <c:ptCount val="1"/>
                <c:pt idx="0">
                  <c:v>Односторонний отказ поставщика (подрядчика, исполнителя) от исполнения контракта в соответствии с гражданским законодательством</c:v>
                </c:pt>
              </c:strCache>
            </c:strRef>
          </c:tx>
          <c:invertIfNegative val="0"/>
          <c:cat>
            <c:strRef>
              <c:f>'Статистика по кон'!$A$2:$A$7</c:f>
              <c:strCache>
                <c:ptCount val="6"/>
                <c:pt idx="0">
                  <c:v>Закупка у единственного поставщика (исполнителя, подрядчика)</c:v>
                </c:pt>
                <c:pt idx="1">
                  <c:v>Запрос котировок</c:v>
                </c:pt>
                <c:pt idx="2">
                  <c:v>Запрос предложений</c:v>
                </c:pt>
                <c:pt idx="3">
                  <c:v>Конкурс с ограниченным участием</c:v>
                </c:pt>
                <c:pt idx="4">
                  <c:v>Открытый конкурс</c:v>
                </c:pt>
                <c:pt idx="5">
                  <c:v>Электронный аукцион</c:v>
                </c:pt>
              </c:strCache>
            </c:strRef>
          </c:cat>
          <c:val>
            <c:numRef>
              <c:f>'Статистика по кон'!$C$2:$C$7</c:f>
              <c:numCache>
                <c:formatCode>#,##0</c:formatCode>
                <c:ptCount val="6"/>
                <c:pt idx="0">
                  <c:v>785130</c:v>
                </c:pt>
                <c:pt idx="1">
                  <c:v>55805</c:v>
                </c:pt>
              </c:numCache>
            </c:numRef>
          </c:val>
        </c:ser>
        <c:ser>
          <c:idx val="2"/>
          <c:order val="2"/>
          <c:tx>
            <c:strRef>
              <c:f>'Статистика по кон'!$D$1</c:f>
              <c:strCache>
                <c:ptCount val="1"/>
                <c:pt idx="0">
                  <c:v>Решение суда</c:v>
                </c:pt>
              </c:strCache>
            </c:strRef>
          </c:tx>
          <c:invertIfNegative val="0"/>
          <c:cat>
            <c:strRef>
              <c:f>'Статистика по кон'!$A$2:$A$7</c:f>
              <c:strCache>
                <c:ptCount val="6"/>
                <c:pt idx="0">
                  <c:v>Закупка у единственного поставщика (исполнителя, подрядчика)</c:v>
                </c:pt>
                <c:pt idx="1">
                  <c:v>Запрос котировок</c:v>
                </c:pt>
                <c:pt idx="2">
                  <c:v>Запрос предложений</c:v>
                </c:pt>
                <c:pt idx="3">
                  <c:v>Конкурс с ограниченным участием</c:v>
                </c:pt>
                <c:pt idx="4">
                  <c:v>Открытый конкурс</c:v>
                </c:pt>
                <c:pt idx="5">
                  <c:v>Электронный аукцион</c:v>
                </c:pt>
              </c:strCache>
            </c:strRef>
          </c:cat>
          <c:val>
            <c:numRef>
              <c:f>'Статистика по кон'!$D$2:$D$7</c:f>
              <c:numCache>
                <c:formatCode>#,##0</c:formatCode>
                <c:ptCount val="6"/>
                <c:pt idx="0">
                  <c:v>27889</c:v>
                </c:pt>
                <c:pt idx="1">
                  <c:v>28000</c:v>
                </c:pt>
                <c:pt idx="5">
                  <c:v>959300</c:v>
                </c:pt>
              </c:numCache>
            </c:numRef>
          </c:val>
        </c:ser>
        <c:ser>
          <c:idx val="3"/>
          <c:order val="3"/>
          <c:tx>
            <c:strRef>
              <c:f>'Статистика по кон'!$E$1</c:f>
              <c:strCache>
                <c:ptCount val="1"/>
                <c:pt idx="0">
                  <c:v>Соглашение сторон</c:v>
                </c:pt>
              </c:strCache>
            </c:strRef>
          </c:tx>
          <c:invertIfNegative val="0"/>
          <c:cat>
            <c:strRef>
              <c:f>'Статистика по кон'!$A$2:$A$7</c:f>
              <c:strCache>
                <c:ptCount val="6"/>
                <c:pt idx="0">
                  <c:v>Закупка у единственного поставщика (исполнителя, подрядчика)</c:v>
                </c:pt>
                <c:pt idx="1">
                  <c:v>Запрос котировок</c:v>
                </c:pt>
                <c:pt idx="2">
                  <c:v>Запрос предложений</c:v>
                </c:pt>
                <c:pt idx="3">
                  <c:v>Конкурс с ограниченным участием</c:v>
                </c:pt>
                <c:pt idx="4">
                  <c:v>Открытый конкурс</c:v>
                </c:pt>
                <c:pt idx="5">
                  <c:v>Электронный аукцион</c:v>
                </c:pt>
              </c:strCache>
            </c:strRef>
          </c:cat>
          <c:val>
            <c:numRef>
              <c:f>'Статистика по кон'!$E$2:$E$7</c:f>
              <c:numCache>
                <c:formatCode>#,##0</c:formatCode>
                <c:ptCount val="6"/>
                <c:pt idx="0">
                  <c:v>426509030</c:v>
                </c:pt>
                <c:pt idx="1">
                  <c:v>51011905</c:v>
                </c:pt>
                <c:pt idx="2">
                  <c:v>13185250</c:v>
                </c:pt>
                <c:pt idx="3">
                  <c:v>15715992</c:v>
                </c:pt>
                <c:pt idx="4">
                  <c:v>4916282</c:v>
                </c:pt>
                <c:pt idx="5">
                  <c:v>1357452273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308063232"/>
        <c:axId val="308065024"/>
        <c:axId val="0"/>
      </c:bar3DChart>
      <c:catAx>
        <c:axId val="308063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308065024"/>
        <c:crosses val="autoZero"/>
        <c:auto val="1"/>
        <c:lblAlgn val="ctr"/>
        <c:lblOffset val="100"/>
        <c:noMultiLvlLbl val="0"/>
      </c:catAx>
      <c:valAx>
        <c:axId val="30806502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308063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113887846518183"/>
          <c:y val="0.66276271701213985"/>
          <c:w val="0.78573185460347694"/>
          <c:h val="0.267333400825832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925693597069703E-3"/>
                  <c:y val="-4.653605628297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820948932844997E-3"/>
                  <c:y val="-4.653605628297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Государственные заказчики</c:v>
                </c:pt>
                <c:pt idx="1">
                  <c:v>Муниципальные заказчики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</c:v>
                </c:pt>
                <c:pt idx="1">
                  <c:v>10.6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46284679853499E-3"/>
                  <c:y val="-5.4292065663474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820948932846084E-3"/>
                  <c:y val="-5.6877402123640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Государственные заказчики</c:v>
                </c:pt>
                <c:pt idx="1">
                  <c:v>Муниципальные заказчики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11.8</c:v>
                </c:pt>
                <c:pt idx="1">
                  <c:v>21.63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8379573137999E-3"/>
                  <c:y val="-4.9121392743143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267328523541818E-2"/>
                  <c:y val="-4.3950139716698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Государственные заказчики</c:v>
                </c:pt>
                <c:pt idx="1">
                  <c:v>Муниципальные заказчики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15.5</c:v>
                </c:pt>
                <c:pt idx="1">
                  <c:v>20.9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shape val="cylinder"/>
        <c:axId val="308387840"/>
        <c:axId val="308389376"/>
        <c:axId val="0"/>
      </c:bar3DChart>
      <c:catAx>
        <c:axId val="30838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08389376"/>
        <c:crosses val="autoZero"/>
        <c:auto val="1"/>
        <c:lblAlgn val="ctr"/>
        <c:lblOffset val="100"/>
        <c:noMultiLvlLbl val="0"/>
      </c:catAx>
      <c:valAx>
        <c:axId val="308389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08387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892962055239784"/>
          <c:y val="0.87294400699912511"/>
          <c:w val="0.64019815403869229"/>
          <c:h val="9.6752962697844586E-2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96460996465151"/>
          <c:y val="2.6656676892049128E-3"/>
          <c:w val="0.79207793849753638"/>
          <c:h val="0.7433640076211439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Pt>
            <c:idx val="0"/>
            <c:bubble3D val="0"/>
            <c:explosion val="3"/>
          </c:dPt>
          <c:dLbls>
            <c:dLbl>
              <c:idx val="0"/>
              <c:layout>
                <c:manualLayout>
                  <c:x val="1.3762354510695253E-2"/>
                  <c:y val="0.14792169141660461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НМцК от 1 до 5 млн.рублей
1667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1.7288096340898566E-2"/>
                  <c:y val="0.34893479126769628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НМцК от 5 млн.рублей
718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Совместные закупки
295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НМцК от 1 до 5 млн.рублей</c:v>
                </c:pt>
                <c:pt idx="1">
                  <c:v>НМцК от 5 млн.рублей</c:v>
                </c:pt>
                <c:pt idx="2">
                  <c:v>Совместные закупки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1667</c:v>
                </c:pt>
                <c:pt idx="1">
                  <c:v>718</c:v>
                </c:pt>
                <c:pt idx="2">
                  <c:v>295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0"/>
      </c:pieChart>
    </c:plotArea>
    <c:plotVisOnly val="1"/>
    <c:dispBlanksAs val="gap"/>
    <c:showDLblsOverMax val="0"/>
  </c:chart>
  <c:spPr>
    <a:ln cap="rnd">
      <a:noFill/>
    </a:ln>
    <a:effectLst>
      <a:softEdge rad="114300"/>
    </a:effectLst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99546935509388"/>
          <c:y val="0.14563170957100502"/>
          <c:w val="0.79207793849753638"/>
          <c:h val="0.7433640076211439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Pt>
            <c:idx val="0"/>
            <c:bubble3D val="0"/>
          </c:dPt>
          <c:dLbls>
            <c:dLbl>
              <c:idx val="0"/>
              <c:layout>
                <c:manualLayout>
                  <c:x val="0.10653895403261636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НМцК от 1 до 5 млн.рублей
3982,84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404631205292253"/>
                  <c:y val="-2.7829856556097658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НМцК от 5 млн.рублей
35167,09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3667494612941520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Совместные закупки
271,9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Лист1!$A$2:$A$4</c:f>
              <c:strCache>
                <c:ptCount val="3"/>
                <c:pt idx="0">
                  <c:v>НМцК от 1 до 5 млн.рублей</c:v>
                </c:pt>
                <c:pt idx="1">
                  <c:v>НМцК от 5 млн.рублей</c:v>
                </c:pt>
                <c:pt idx="2">
                  <c:v>Совместные закупки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3982.84</c:v>
                </c:pt>
                <c:pt idx="1">
                  <c:v>35167.089999999997</c:v>
                </c:pt>
                <c:pt idx="2">
                  <c:v>271.89999999999998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10"/>
      </c:pieChart>
    </c:plotArea>
    <c:plotVisOnly val="1"/>
    <c:dispBlanksAs val="gap"/>
    <c:showDLblsOverMax val="0"/>
  </c:chart>
  <c:spPr>
    <a:ln cap="rnd">
      <a:noFill/>
    </a:ln>
    <a:effectLst>
      <a:softEdge rad="114300"/>
    </a:effectLst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 количеству заявок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совместные торги</c:v>
                </c:pt>
              </c:strCache>
            </c:strRef>
          </c:tx>
          <c:invertIfNegative val="0"/>
          <c:cat>
            <c:strRef>
              <c:f>Лист1!$F$11:$I$12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Лист1!$F$13:$I$13</c:f>
              <c:numCache>
                <c:formatCode>General</c:formatCode>
                <c:ptCount val="2"/>
                <c:pt idx="0">
                  <c:v>59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Лист1!$E$14</c:f>
              <c:strCache>
                <c:ptCount val="1"/>
                <c:pt idx="0">
                  <c:v>заявки  с НМЦК от 1 до 5 млн.  рублей</c:v>
                </c:pt>
              </c:strCache>
            </c:strRef>
          </c:tx>
          <c:invertIfNegative val="0"/>
          <c:cat>
            <c:strRef>
              <c:f>Лист1!$F$11:$I$12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Лист1!$F$14:$I$14</c:f>
              <c:numCache>
                <c:formatCode>General</c:formatCode>
                <c:ptCount val="2"/>
                <c:pt idx="0">
                  <c:v>1430</c:v>
                </c:pt>
                <c:pt idx="1">
                  <c:v>1656</c:v>
                </c:pt>
              </c:numCache>
            </c:numRef>
          </c:val>
        </c:ser>
        <c:ser>
          <c:idx val="2"/>
          <c:order val="2"/>
          <c:tx>
            <c:strRef>
              <c:f>Лист1!$E$15</c:f>
              <c:strCache>
                <c:ptCount val="1"/>
                <c:pt idx="0">
                  <c:v>заявки с НМЦК 5 млн. рублей и более</c:v>
                </c:pt>
              </c:strCache>
            </c:strRef>
          </c:tx>
          <c:invertIfNegative val="0"/>
          <c:cat>
            <c:strRef>
              <c:f>Лист1!$F$11:$I$12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Лист1!$F$15:$I$15</c:f>
              <c:numCache>
                <c:formatCode>General</c:formatCode>
                <c:ptCount val="2"/>
                <c:pt idx="0">
                  <c:v>879</c:v>
                </c:pt>
                <c:pt idx="1">
                  <c:v>688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8782208"/>
        <c:axId val="308783744"/>
        <c:axId val="0"/>
      </c:bar3DChart>
      <c:catAx>
        <c:axId val="308782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308783744"/>
        <c:crosses val="autoZero"/>
        <c:auto val="1"/>
        <c:lblAlgn val="ctr"/>
        <c:lblOffset val="100"/>
        <c:noMultiLvlLbl val="0"/>
      </c:catAx>
      <c:valAx>
        <c:axId val="308783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87822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 сумме заявок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Лист1!$L$11:$L$12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Лист1!$K$13:$K$15</c:f>
              <c:strCache>
                <c:ptCount val="3"/>
                <c:pt idx="0">
                  <c:v>совместные торги</c:v>
                </c:pt>
                <c:pt idx="1">
                  <c:v>заявки  с НМЦК от 1 до 5 млн.  рублей</c:v>
                </c:pt>
                <c:pt idx="2">
                  <c:v>заявки с НМЦК 5 млн. рублей и более</c:v>
                </c:pt>
              </c:strCache>
            </c:strRef>
          </c:cat>
          <c:val>
            <c:numRef>
              <c:f>Лист1!$L$13:$L$15</c:f>
              <c:numCache>
                <c:formatCode>General</c:formatCode>
                <c:ptCount val="3"/>
                <c:pt idx="0">
                  <c:v>0.68</c:v>
                </c:pt>
                <c:pt idx="1">
                  <c:v>3.5</c:v>
                </c:pt>
                <c:pt idx="2">
                  <c:v>59.9</c:v>
                </c:pt>
              </c:numCache>
            </c:numRef>
          </c:val>
        </c:ser>
        <c:ser>
          <c:idx val="1"/>
          <c:order val="1"/>
          <c:tx>
            <c:strRef>
              <c:f>Лист1!$M$11:$M$12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Лист1!$K$13:$K$15</c:f>
              <c:strCache>
                <c:ptCount val="3"/>
                <c:pt idx="0">
                  <c:v>совместные торги</c:v>
                </c:pt>
                <c:pt idx="1">
                  <c:v>заявки  с НМЦК от 1 до 5 млн.  рублей</c:v>
                </c:pt>
                <c:pt idx="2">
                  <c:v>заявки с НМЦК 5 млн. рублей и более</c:v>
                </c:pt>
              </c:strCache>
            </c:strRef>
          </c:cat>
          <c:val>
            <c:numRef>
              <c:f>Лист1!$M$13:$M$15</c:f>
              <c:numCache>
                <c:formatCode>General</c:formatCode>
                <c:ptCount val="3"/>
                <c:pt idx="0">
                  <c:v>0.27</c:v>
                </c:pt>
                <c:pt idx="1">
                  <c:v>3.95</c:v>
                </c:pt>
                <c:pt idx="2">
                  <c:v>34.049999999999997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9957760"/>
        <c:axId val="309959296"/>
        <c:axId val="0"/>
      </c:bar3DChart>
      <c:catAx>
        <c:axId val="309957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309959296"/>
        <c:crosses val="autoZero"/>
        <c:auto val="1"/>
        <c:lblAlgn val="ctr"/>
        <c:lblOffset val="100"/>
        <c:noMultiLvlLbl val="0"/>
      </c:catAx>
      <c:valAx>
        <c:axId val="309959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99577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Общее количество жалоб, признанных не обоснованными</c:v>
                </c:pt>
              </c:strCache>
            </c:strRef>
          </c:tx>
          <c:invertIfNegative val="0"/>
          <c:cat>
            <c:multiLvlStrRef>
              <c:f>Лист1!$B$4:$E$5</c:f>
              <c:multiLvlStrCache>
                <c:ptCount val="4"/>
                <c:lvl>
                  <c:pt idx="0">
                    <c:v>менее 5 млн.руб.</c:v>
                  </c:pt>
                  <c:pt idx="1">
                    <c:v>более 5 млн.руб.</c:v>
                  </c:pt>
                  <c:pt idx="2">
                    <c:v>менее 5 млн.руб.</c:v>
                  </c:pt>
                  <c:pt idx="3">
                    <c:v>более 5 млн.руб.</c:v>
                  </c:pt>
                </c:lvl>
                <c:lvl>
                  <c:pt idx="0">
                    <c:v>2015 год</c:v>
                  </c:pt>
                  <c:pt idx="2">
                    <c:v>2016 год</c:v>
                  </c:pt>
                </c:lvl>
              </c:multiLvlStrCache>
            </c:multiLvl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58</c:v>
                </c:pt>
                <c:pt idx="1">
                  <c:v>78</c:v>
                </c:pt>
                <c:pt idx="2">
                  <c:v>99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Общее количество жалоб, признанных обоснованными</c:v>
                </c:pt>
              </c:strCache>
            </c:strRef>
          </c:tx>
          <c:invertIfNegative val="0"/>
          <c:cat>
            <c:multiLvlStrRef>
              <c:f>Лист1!$B$4:$E$5</c:f>
              <c:multiLvlStrCache>
                <c:ptCount val="4"/>
                <c:lvl>
                  <c:pt idx="0">
                    <c:v>менее 5 млн.руб.</c:v>
                  </c:pt>
                  <c:pt idx="1">
                    <c:v>более 5 млн.руб.</c:v>
                  </c:pt>
                  <c:pt idx="2">
                    <c:v>менее 5 млн.руб.</c:v>
                  </c:pt>
                  <c:pt idx="3">
                    <c:v>более 5 млн.руб.</c:v>
                  </c:pt>
                </c:lvl>
                <c:lvl>
                  <c:pt idx="0">
                    <c:v>2015 год</c:v>
                  </c:pt>
                  <c:pt idx="2">
                    <c:v>2016 год</c:v>
                  </c:pt>
                </c:lvl>
              </c:multiLvlStrCache>
            </c:multiLvl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11067776"/>
        <c:axId val="311069312"/>
        <c:axId val="0"/>
      </c:bar3DChart>
      <c:catAx>
        <c:axId val="311067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311069312"/>
        <c:crosses val="autoZero"/>
        <c:auto val="1"/>
        <c:lblAlgn val="ctr"/>
        <c:lblOffset val="100"/>
        <c:noMultiLvlLbl val="0"/>
      </c:catAx>
      <c:valAx>
        <c:axId val="311069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067776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079010285004696E-2"/>
          <c:y val="3.6282744068756111E-2"/>
          <c:w val="0.71360386403312492"/>
          <c:h val="0.89754008471713309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Запрос предложений</c:v>
                </c:pt>
              </c:strCache>
            </c:strRef>
          </c:tx>
          <c:dLbls>
            <c:dLbl>
              <c:idx val="0"/>
              <c:layout>
                <c:manualLayout>
                  <c:x val="2.8673835125448029E-2"/>
                  <c:y val="6.6006600660066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481310803891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Конкурс</c:v>
                </c:pt>
              </c:strCache>
            </c:strRef>
          </c:tx>
          <c:dLbls>
            <c:dLbl>
              <c:idx val="0"/>
              <c:layout>
                <c:manualLayout>
                  <c:x val="2.4577572964669739E-2"/>
                  <c:y val="6.6006600660066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481310803891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1.6</c:v>
                </c:pt>
                <c:pt idx="1">
                  <c:v>0.7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Ед. поставщик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1.6385048643113159E-2"/>
                  <c:y val="9.90073023050336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481310803891449E-3"/>
                  <c:y val="1.3201320132013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529441884280518E-2"/>
                  <c:y val="9.9009900990099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20.3</c:v>
                </c:pt>
                <c:pt idx="1">
                  <c:v>11.9</c:v>
                </c:pt>
                <c:pt idx="2">
                  <c:v>9.6999999999999993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Запрос котировок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0"/>
                  <c:y val="-8.910891089108910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7.9207920792079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481310803891449E-3"/>
                  <c:y val="-8.2508250825082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15.4</c:v>
                </c:pt>
                <c:pt idx="2">
                  <c:v>14.4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Аукцион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-6.1443932411673974E-3"/>
                  <c:y val="-0.178217821782178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21782178217821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1443932411674347E-3"/>
                  <c:y val="-0.23102310231023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61.1</c:v>
                </c:pt>
                <c:pt idx="1">
                  <c:v>71.900000000000006</c:v>
                </c:pt>
                <c:pt idx="2">
                  <c:v>75.3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201728"/>
        <c:axId val="222203264"/>
        <c:axId val="245814144"/>
      </c:area3DChart>
      <c:catAx>
        <c:axId val="222201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2203264"/>
        <c:crosses val="autoZero"/>
        <c:auto val="1"/>
        <c:lblAlgn val="ctr"/>
        <c:lblOffset val="100"/>
        <c:noMultiLvlLbl val="0"/>
      </c:catAx>
      <c:valAx>
        <c:axId val="2222032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2201728"/>
        <c:crosses val="autoZero"/>
        <c:crossBetween val="midCat"/>
      </c:valAx>
      <c:serAx>
        <c:axId val="245814144"/>
        <c:scaling>
          <c:orientation val="minMax"/>
        </c:scaling>
        <c:delete val="1"/>
        <c:axPos val="b"/>
        <c:majorTickMark val="none"/>
        <c:minorTickMark val="none"/>
        <c:tickLblPos val="nextTo"/>
        <c:crossAx val="222203264"/>
        <c:crosses val="autoZero"/>
      </c:serAx>
    </c:plotArea>
    <c:legend>
      <c:legendPos val="r"/>
      <c:layout>
        <c:manualLayout>
          <c:xMode val="edge"/>
          <c:yMode val="edge"/>
          <c:x val="0.76006241155339449"/>
          <c:y val="0.63627946259192847"/>
          <c:w val="0.2262151102079982"/>
          <c:h val="0.29839791065720744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079010285004696E-2"/>
          <c:y val="3.6282744068756111E-2"/>
          <c:w val="0.71360386403312492"/>
          <c:h val="0.89754008471713309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Запрос предложений</c:v>
                </c:pt>
              </c:strCache>
            </c:strRef>
          </c:tx>
          <c:dLbls>
            <c:dLbl>
              <c:idx val="0"/>
              <c:layout>
                <c:manualLayout>
                  <c:x val="2.2529441884280594E-2"/>
                  <c:y val="3.3003300330033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5294418842805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Запрос котировок</c:v>
                </c:pt>
              </c:strCache>
            </c:strRef>
          </c:tx>
          <c:dLbls>
            <c:dLbl>
              <c:idx val="0"/>
              <c:layout>
                <c:manualLayout>
                  <c:x val="2.25294418842805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433179723502304E-2"/>
                  <c:y val="-6.6006600660066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0.9</c:v>
                </c:pt>
                <c:pt idx="2">
                  <c:v>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Ед. поставщик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1.63850486431131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577572964669739E-2"/>
                  <c:y val="-3.3003300330033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5.4</c:v>
                </c:pt>
                <c:pt idx="1">
                  <c:v>3.6</c:v>
                </c:pt>
                <c:pt idx="2">
                  <c:v>6.4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Конкурс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-2.0481310803891449E-3"/>
                  <c:y val="-3.9603960396039604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288786482334869E-2"/>
                  <c:y val="-7.590759075907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405940594059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4.2</c:v>
                </c:pt>
                <c:pt idx="1">
                  <c:v>14.8</c:v>
                </c:pt>
                <c:pt idx="2">
                  <c:v>4.4000000000000004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Аукцион</c:v>
                </c:pt>
              </c:strCache>
            </c:strRef>
          </c:tx>
          <c:spPr>
            <a:ln w="25400">
              <a:noFill/>
            </a:ln>
          </c:spPr>
          <c:dLbls>
            <c:dLbl>
              <c:idx val="0"/>
              <c:layout>
                <c:manualLayout>
                  <c:x val="-4.0962621607782898E-3"/>
                  <c:y val="-0.237623762376237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288786482334869E-2"/>
                  <c:y val="-0.24092409240924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25243215565796E-3"/>
                  <c:y val="-0.257425742574257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87.5</c:v>
                </c:pt>
                <c:pt idx="1">
                  <c:v>80.099999999999994</c:v>
                </c:pt>
                <c:pt idx="2">
                  <c:v>87.3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5618944"/>
        <c:axId val="245620736"/>
        <c:axId val="245606144"/>
      </c:area3DChart>
      <c:catAx>
        <c:axId val="2456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5620736"/>
        <c:crosses val="autoZero"/>
        <c:auto val="1"/>
        <c:lblAlgn val="ctr"/>
        <c:lblOffset val="100"/>
        <c:noMultiLvlLbl val="0"/>
      </c:catAx>
      <c:valAx>
        <c:axId val="24562073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5618944"/>
        <c:crosses val="autoZero"/>
        <c:crossBetween val="midCat"/>
      </c:valAx>
      <c:serAx>
        <c:axId val="245606144"/>
        <c:scaling>
          <c:orientation val="minMax"/>
        </c:scaling>
        <c:delete val="1"/>
        <c:axPos val="b"/>
        <c:majorTickMark val="none"/>
        <c:minorTickMark val="none"/>
        <c:tickLblPos val="nextTo"/>
        <c:crossAx val="245620736"/>
        <c:crosses val="autoZero"/>
      </c:serAx>
    </c:plotArea>
    <c:legend>
      <c:legendPos val="r"/>
      <c:layout>
        <c:manualLayout>
          <c:xMode val="edge"/>
          <c:yMode val="edge"/>
          <c:x val="0.76006241155339449"/>
          <c:y val="0.63627946259192847"/>
          <c:w val="0.22150440872310315"/>
          <c:h val="0.29839791065720744"/>
        </c:manualLayout>
      </c:layout>
      <c:overlay val="0"/>
      <c:txPr>
        <a:bodyPr/>
        <a:lstStyle/>
        <a:p>
          <a:pPr>
            <a:defRPr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конкурентные способы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451271741605131E-3"/>
                  <c:y val="1.1742469868320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464730165685102E-3"/>
                  <c:y val="0.10369372383692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1266414938721858E-3"/>
                  <c:y val="0.115169711434795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0.79700000000000004</c:v>
                </c:pt>
                <c:pt idx="1">
                  <c:v>0.88100000000000001</c:v>
                </c:pt>
                <c:pt idx="2">
                  <c:v>0.90300000000000002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неконкурентные способы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4930216374344369E-2"/>
                  <c:y val="-9.86329400043124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593300428281163E-2"/>
                  <c:y val="-2.1179094822778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891782757924572E-2"/>
                  <c:y val="-5.68832578647215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0.20300000000000001</c:v>
                </c:pt>
                <c:pt idx="1">
                  <c:v>0.11899999999999999</c:v>
                </c:pt>
                <c:pt idx="2">
                  <c:v>9.7000000000000003E-2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4"/>
        <c:shape val="pyramid"/>
        <c:axId val="245807744"/>
        <c:axId val="247087488"/>
        <c:axId val="0"/>
      </c:bar3DChart>
      <c:catAx>
        <c:axId val="24580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7087488"/>
        <c:crosses val="autoZero"/>
        <c:auto val="1"/>
        <c:lblAlgn val="ctr"/>
        <c:lblOffset val="100"/>
        <c:noMultiLvlLbl val="0"/>
      </c:catAx>
      <c:valAx>
        <c:axId val="247087488"/>
        <c:scaling>
          <c:orientation val="minMax"/>
          <c:min val="0.60000000000000009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5807744"/>
        <c:crosses val="autoZero"/>
        <c:crossBetween val="between"/>
        <c:minorUnit val="2.0000000000000005E-3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  <a:effectLst>
      <a:softEdge rad="0"/>
    </a:effectLst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конкурентные способы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273421223329083E-3"/>
                  <c:y val="7.2176841917423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286879647409041E-3"/>
                  <c:y val="0.10369372383692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91071390216975E-2"/>
                  <c:y val="4.7181042879555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0.94599999999999995</c:v>
                </c:pt>
                <c:pt idx="1">
                  <c:v>0.96399999999999997</c:v>
                </c:pt>
                <c:pt idx="2">
                  <c:v>0.93600000000000005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неконкурентные способы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112431322516758E-2"/>
                  <c:y val="-4.1975716208278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411085480108773E-2"/>
                  <c:y val="-6.0705018105031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620470722665399E-2"/>
                  <c:y val="-6.2345549582506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0.0%</c:formatCode>
                <c:ptCount val="3"/>
                <c:pt idx="0">
                  <c:v>5.3999999999999999E-2</c:v>
                </c:pt>
                <c:pt idx="1">
                  <c:v>3.5999999999999997E-2</c:v>
                </c:pt>
                <c:pt idx="2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4"/>
        <c:shape val="pyramid"/>
        <c:axId val="247142272"/>
        <c:axId val="247143808"/>
        <c:axId val="0"/>
      </c:bar3DChart>
      <c:catAx>
        <c:axId val="24714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7143808"/>
        <c:crosses val="autoZero"/>
        <c:auto val="1"/>
        <c:lblAlgn val="ctr"/>
        <c:lblOffset val="100"/>
        <c:noMultiLvlLbl val="0"/>
      </c:catAx>
      <c:valAx>
        <c:axId val="247143808"/>
        <c:scaling>
          <c:orientation val="minMax"/>
          <c:min val="0.8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47142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количеству</a:t>
            </a:r>
          </a:p>
        </c:rich>
      </c:tx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7.056901497153735E-2"/>
          <c:y val="0.14828887114721961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6.7783279667361172E-3"/>
                  <c:y val="-1.197780657164689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984042904820038E-3"/>
                  <c:y val="1.646209352292483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705892433548896E-3"/>
                  <c:y val="-1.891978692536850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7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521</c:v>
                </c:pt>
                <c:pt idx="1">
                  <c:v>275</c:v>
                </c:pt>
                <c:pt idx="2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171328"/>
        <c:axId val="247181312"/>
        <c:axId val="0"/>
      </c:bar3DChart>
      <c:catAx>
        <c:axId val="24717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7" b="1"/>
            </a:pPr>
            <a:endParaRPr lang="ru-RU"/>
          </a:p>
        </c:txPr>
        <c:crossAx val="247181312"/>
        <c:crosses val="autoZero"/>
        <c:auto val="1"/>
        <c:lblAlgn val="ctr"/>
        <c:lblOffset val="100"/>
        <c:noMultiLvlLbl val="0"/>
      </c:catAx>
      <c:valAx>
        <c:axId val="24718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171328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6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/>
              <a:t>по </a:t>
            </a:r>
            <a:r>
              <a:rPr lang="ru-RU" dirty="0" smtClean="0"/>
              <a:t>сумме , млн. рублей</a:t>
            </a:r>
            <a:endParaRPr lang="ru-RU" dirty="0"/>
          </a:p>
        </c:rich>
      </c:tx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7.056901497153735E-2"/>
          <c:y val="0.14828887114721961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1.8111059001637335E-2"/>
                  <c:y val="-2.303814150890713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984042904820038E-3"/>
                  <c:y val="1.6462093522924839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673109043187787E-3"/>
                  <c:y val="-9.8602781035349307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sz="996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29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6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1898.4</c:v>
                </c:pt>
                <c:pt idx="1">
                  <c:v>11259.8</c:v>
                </c:pt>
                <c:pt idx="2">
                  <c:v>2088.6999999999998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7106176"/>
        <c:axId val="248086912"/>
        <c:axId val="0"/>
      </c:bar3DChart>
      <c:catAx>
        <c:axId val="2471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6" b="1"/>
            </a:pPr>
            <a:endParaRPr lang="ru-RU"/>
          </a:p>
        </c:txPr>
        <c:crossAx val="248086912"/>
        <c:crosses val="autoZero"/>
        <c:auto val="1"/>
        <c:lblAlgn val="ctr"/>
        <c:lblOffset val="100"/>
        <c:noMultiLvlLbl val="0"/>
      </c:catAx>
      <c:valAx>
        <c:axId val="24808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106176"/>
        <c:crosses val="autoZero"/>
        <c:crossBetween val="between"/>
      </c:valAx>
      <c:spPr>
        <a:noFill/>
        <a:ln w="25292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5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количеству</a:t>
            </a:r>
          </a:p>
        </c:rich>
      </c:tx>
      <c:layout>
        <c:manualLayout>
          <c:xMode val="edge"/>
          <c:yMode val="edge"/>
          <c:x val="0.39274847567131033"/>
          <c:y val="0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  <c:spPr>
        <a:noFill/>
        <a:ln w="25351">
          <a:noFill/>
        </a:ln>
      </c:spPr>
    </c:sideWall>
    <c:backWall>
      <c:thickness val="0"/>
      <c:spPr>
        <a:noFill/>
        <a:ln w="25351">
          <a:noFill/>
        </a:ln>
      </c:spPr>
    </c:backWall>
    <c:plotArea>
      <c:layout>
        <c:manualLayout>
          <c:layoutTarget val="inner"/>
          <c:xMode val="edge"/>
          <c:yMode val="edge"/>
          <c:x val="7.056901497153735E-2"/>
          <c:y val="0.14828887114721961"/>
          <c:w val="0.88465187698987136"/>
          <c:h val="0.765618373962243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1.5172380375529978E-2"/>
                  <c:y val="-2.2238255460358215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662224914193473E-4"/>
                  <c:y val="-1.8780163492779261E-2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8319402382394516E-3"/>
                  <c:y val="3.1810561124793455E-3"/>
                </c:manualLayout>
              </c:layout>
              <c:spPr>
                <a:solidFill>
                  <a:schemeClr val="bg1"/>
                </a:solidFill>
              </c:spPr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32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19538</c:v>
                </c:pt>
                <c:pt idx="1">
                  <c:v>27280</c:v>
                </c:pt>
                <c:pt idx="2">
                  <c:v>29100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8147328"/>
        <c:axId val="248157312"/>
        <c:axId val="0"/>
      </c:bar3DChart>
      <c:catAx>
        <c:axId val="24814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248157312"/>
        <c:crosses val="autoZero"/>
        <c:auto val="1"/>
        <c:lblAlgn val="ctr"/>
        <c:lblOffset val="100"/>
        <c:noMultiLvlLbl val="0"/>
      </c:catAx>
      <c:valAx>
        <c:axId val="24815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147328"/>
        <c:crosses val="autoZero"/>
        <c:crossBetween val="between"/>
      </c:valAx>
      <c:spPr>
        <a:noFill/>
        <a:ln w="25321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96">
          <a:ln>
            <a:noFill/>
          </a:ln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0.3697</cdr:x>
      <cdr:y>0.28918</cdr:y>
    </cdr:from>
    <cdr:to>
      <cdr:x>0.62929</cdr:x>
      <cdr:y>0.70476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028305" y="925484"/>
          <a:ext cx="1424247" cy="1330036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8155 </a:t>
          </a:r>
        </a:p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 сумму 8156,6 млн.рублей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0.40057</cdr:x>
      <cdr:y>0.28921</cdr:y>
    </cdr:from>
    <cdr:to>
      <cdr:x>0.60681</cdr:x>
      <cdr:y>0.70877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421774" y="786938"/>
          <a:ext cx="1246909" cy="114161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34 791</a:t>
          </a:r>
        </a:p>
        <a:p xmlns:a="http://schemas.openxmlformats.org/drawingml/2006/main"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на сумму</a:t>
          </a:r>
        </a:p>
        <a:p xmlns:a="http://schemas.openxmlformats.org/drawingml/2006/main"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 35 235,4  млн.рублей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0.65546</cdr:x>
      <cdr:y>0.93815</cdr:y>
    </cdr:from>
    <cdr:to>
      <cdr:x>0.87395</cdr:x>
      <cdr:y>0.98213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16624" y="4608512"/>
          <a:ext cx="1872208" cy="216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 b="1" dirty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BCCB-591E-4274-BA8B-1DB75A63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42</Pages>
  <Words>10974</Words>
  <Characters>62558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Недов</cp:lastModifiedBy>
  <cp:revision>3</cp:revision>
  <cp:lastPrinted>2017-06-19T04:55:00Z</cp:lastPrinted>
  <dcterms:created xsi:type="dcterms:W3CDTF">2017-06-19T04:49:00Z</dcterms:created>
  <dcterms:modified xsi:type="dcterms:W3CDTF">2017-06-19T06:14:00Z</dcterms:modified>
</cp:coreProperties>
</file>